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1" w:rsidRDefault="00F75F6D">
      <w:pPr>
        <w:pStyle w:val="a3"/>
        <w:jc w:val="center"/>
      </w:pPr>
      <w:r>
        <w:rPr>
          <w:rStyle w:val="a6"/>
          <w:rFonts w:ascii="黑体" w:eastAsia="黑体" w:hAnsi="黑体" w:hint="eastAsia"/>
          <w:sz w:val="44"/>
          <w:szCs w:val="44"/>
        </w:rPr>
        <w:t>苍南县2021年度部门决算</w:t>
      </w:r>
    </w:p>
    <w:p w:rsidR="00206E51" w:rsidRDefault="00F75F6D">
      <w:pPr>
        <w:pStyle w:val="a3"/>
        <w:jc w:val="center"/>
      </w:pPr>
      <w:r>
        <w:rPr>
          <w:rStyle w:val="a6"/>
          <w:rFonts w:ascii="等线" w:eastAsia="等线" w:hint="eastAsia"/>
          <w:sz w:val="22"/>
          <w:szCs w:val="22"/>
        </w:rPr>
        <w:t>目录</w:t>
      </w:r>
    </w:p>
    <w:p w:rsidR="00206E51" w:rsidRDefault="00F75F6D">
      <w:pPr>
        <w:spacing w:line="600" w:lineRule="atLeast"/>
        <w:ind w:firstLine="640"/>
        <w:jc w:val="both"/>
      </w:pPr>
      <w:r>
        <w:rPr>
          <w:rStyle w:val="a6"/>
          <w:rFonts w:ascii="等线" w:eastAsia="等线" w:cs="Arial" w:hint="eastAsia"/>
          <w:sz w:val="22"/>
          <w:szCs w:val="22"/>
        </w:rPr>
        <w:t>一、概况.</w:t>
      </w:r>
      <w:proofErr w:type="gramStart"/>
      <w:r>
        <w:rPr>
          <w:rStyle w:val="a6"/>
          <w:rFonts w:ascii="等线" w:eastAsia="等线" w:cs="Arial" w:hint="eastAsia"/>
          <w:sz w:val="22"/>
          <w:szCs w:val="22"/>
        </w:rPr>
        <w:t>.............................................</w:t>
      </w:r>
      <w:r w:rsidR="00331990">
        <w:rPr>
          <w:rStyle w:val="a6"/>
          <w:rFonts w:ascii="等线" w:eastAsia="等线" w:cs="Arial" w:hint="eastAsia"/>
          <w:sz w:val="22"/>
          <w:szCs w:val="22"/>
        </w:rPr>
        <w:t>.</w:t>
      </w:r>
      <w:r>
        <w:rPr>
          <w:rStyle w:val="a6"/>
          <w:rFonts w:ascii="等线" w:eastAsia="等线" w:cs="Arial" w:hint="eastAsia"/>
          <w:sz w:val="22"/>
          <w:szCs w:val="22"/>
        </w:rPr>
        <w:t>..........(</w:t>
      </w:r>
      <w:proofErr w:type="gramEnd"/>
      <w:r>
        <w:rPr>
          <w:rStyle w:val="a6"/>
          <w:rFonts w:ascii="等线" w:eastAsia="等线" w:cs="Arial" w:hint="eastAsia"/>
          <w:sz w:val="22"/>
          <w:szCs w:val="22"/>
        </w:rPr>
        <w:t>1)</w:t>
      </w:r>
    </w:p>
    <w:p w:rsidR="00206E51" w:rsidRDefault="00F75F6D">
      <w:pPr>
        <w:spacing w:line="600" w:lineRule="atLeast"/>
        <w:ind w:firstLine="640"/>
        <w:jc w:val="both"/>
      </w:pPr>
      <w:r>
        <w:rPr>
          <w:rStyle w:val="a6"/>
          <w:rFonts w:ascii="等线" w:eastAsia="等线" w:cs="Arial" w:hint="eastAsia"/>
          <w:sz w:val="22"/>
          <w:szCs w:val="22"/>
        </w:rPr>
        <w:t>（一）部门职责.</w:t>
      </w:r>
      <w:proofErr w:type="gramStart"/>
      <w:r>
        <w:rPr>
          <w:rStyle w:val="a6"/>
          <w:rFonts w:ascii="等线" w:eastAsia="等线" w:cs="Arial" w:hint="eastAsia"/>
          <w:sz w:val="22"/>
          <w:szCs w:val="22"/>
        </w:rPr>
        <w:t>................................</w:t>
      </w:r>
      <w:r w:rsidR="00331990">
        <w:rPr>
          <w:rStyle w:val="a6"/>
          <w:rFonts w:ascii="等线" w:eastAsia="等线" w:cs="Arial" w:hint="eastAsia"/>
          <w:sz w:val="22"/>
          <w:szCs w:val="22"/>
        </w:rPr>
        <w:t>..........</w:t>
      </w:r>
      <w:r>
        <w:rPr>
          <w:rStyle w:val="a6"/>
          <w:rFonts w:ascii="等线" w:eastAsia="等线" w:cs="Arial" w:hint="eastAsia"/>
          <w:sz w:val="22"/>
          <w:szCs w:val="22"/>
        </w:rPr>
        <w:t>........(</w:t>
      </w:r>
      <w:proofErr w:type="gramEnd"/>
      <w:r>
        <w:rPr>
          <w:rStyle w:val="a6"/>
          <w:rFonts w:ascii="等线" w:eastAsia="等线" w:cs="Arial" w:hint="eastAsia"/>
          <w:sz w:val="22"/>
          <w:szCs w:val="22"/>
        </w:rPr>
        <w:t>1)</w:t>
      </w:r>
    </w:p>
    <w:p w:rsidR="00206E51" w:rsidRDefault="00F75F6D">
      <w:pPr>
        <w:spacing w:line="600" w:lineRule="atLeast"/>
        <w:ind w:firstLine="640"/>
        <w:jc w:val="both"/>
      </w:pPr>
      <w:r>
        <w:rPr>
          <w:rStyle w:val="a6"/>
          <w:rFonts w:ascii="等线" w:eastAsia="等线" w:cs="Arial" w:hint="eastAsia"/>
          <w:sz w:val="22"/>
          <w:szCs w:val="22"/>
        </w:rPr>
        <w:t xml:space="preserve">（二）机构设置.................................................. (6) </w:t>
      </w:r>
    </w:p>
    <w:p w:rsidR="00206E51" w:rsidRDefault="00F75F6D">
      <w:pPr>
        <w:spacing w:line="600" w:lineRule="atLeast"/>
        <w:ind w:firstLine="640"/>
        <w:jc w:val="both"/>
      </w:pPr>
      <w:r>
        <w:rPr>
          <w:rStyle w:val="a6"/>
          <w:rFonts w:ascii="等线" w:eastAsia="等线" w:cs="Arial" w:hint="eastAsia"/>
          <w:sz w:val="22"/>
          <w:szCs w:val="22"/>
        </w:rPr>
        <w:t>二、2021年度部门决算公开表.</w:t>
      </w:r>
      <w:proofErr w:type="gramStart"/>
      <w:r>
        <w:rPr>
          <w:rStyle w:val="a6"/>
          <w:rFonts w:ascii="等线" w:eastAsia="等线" w:cs="Arial" w:hint="eastAsia"/>
          <w:sz w:val="22"/>
          <w:szCs w:val="22"/>
        </w:rPr>
        <w:t>.........................</w:t>
      </w:r>
      <w:r w:rsidR="00331990">
        <w:rPr>
          <w:rStyle w:val="a6"/>
          <w:rFonts w:ascii="等线" w:eastAsia="等线" w:cs="Arial" w:hint="eastAsia"/>
          <w:sz w:val="22"/>
          <w:szCs w:val="22"/>
        </w:rPr>
        <w:t>........</w:t>
      </w:r>
      <w:r>
        <w:rPr>
          <w:rStyle w:val="a6"/>
          <w:rFonts w:ascii="等线" w:eastAsia="等线" w:cs="Arial" w:hint="eastAsia"/>
          <w:sz w:val="22"/>
          <w:szCs w:val="22"/>
        </w:rPr>
        <w:t>....(</w:t>
      </w:r>
      <w:proofErr w:type="gramEnd"/>
      <w:r>
        <w:rPr>
          <w:rStyle w:val="a6"/>
          <w:rFonts w:ascii="等线" w:eastAsia="等线" w:cs="Arial" w:hint="eastAsia"/>
          <w:sz w:val="22"/>
          <w:szCs w:val="22"/>
        </w:rPr>
        <w:t>6)</w:t>
      </w:r>
    </w:p>
    <w:p w:rsidR="00206E51" w:rsidRDefault="00F75F6D">
      <w:pPr>
        <w:spacing w:line="600" w:lineRule="atLeast"/>
        <w:ind w:firstLine="640"/>
        <w:jc w:val="both"/>
      </w:pPr>
      <w:r>
        <w:rPr>
          <w:rStyle w:val="a6"/>
          <w:rFonts w:ascii="等线" w:eastAsia="等线" w:cs="Arial" w:hint="eastAsia"/>
          <w:sz w:val="22"/>
          <w:szCs w:val="22"/>
        </w:rPr>
        <w:t>三、2021年度部门决算情况说明.</w:t>
      </w:r>
      <w:proofErr w:type="gramStart"/>
      <w:r>
        <w:rPr>
          <w:rStyle w:val="a6"/>
          <w:rFonts w:ascii="等线" w:eastAsia="等线" w:cs="Arial" w:hint="eastAsia"/>
          <w:sz w:val="22"/>
          <w:szCs w:val="22"/>
        </w:rPr>
        <w:t>.....................</w:t>
      </w:r>
      <w:r w:rsidR="00331990">
        <w:rPr>
          <w:rStyle w:val="a6"/>
          <w:rFonts w:ascii="等线" w:eastAsia="等线" w:cs="Arial" w:hint="eastAsia"/>
          <w:sz w:val="22"/>
          <w:szCs w:val="22"/>
        </w:rPr>
        <w:t>........</w:t>
      </w:r>
      <w:r>
        <w:rPr>
          <w:rStyle w:val="a6"/>
          <w:rFonts w:ascii="等线" w:eastAsia="等线" w:cs="Arial" w:hint="eastAsia"/>
          <w:sz w:val="22"/>
          <w:szCs w:val="22"/>
        </w:rPr>
        <w:t>......(</w:t>
      </w:r>
      <w:proofErr w:type="gramEnd"/>
      <w:r>
        <w:rPr>
          <w:rStyle w:val="a6"/>
          <w:rFonts w:ascii="等线" w:eastAsia="等线" w:cs="Arial" w:hint="eastAsia"/>
          <w:sz w:val="22"/>
          <w:szCs w:val="22"/>
        </w:rPr>
        <w:t xml:space="preserve">6) </w:t>
      </w:r>
    </w:p>
    <w:p w:rsidR="00206E51" w:rsidRDefault="00F75F6D">
      <w:pPr>
        <w:spacing w:line="600" w:lineRule="atLeast"/>
        <w:ind w:firstLine="640"/>
        <w:jc w:val="both"/>
      </w:pPr>
      <w:r>
        <w:rPr>
          <w:rStyle w:val="a6"/>
          <w:rFonts w:ascii="等线" w:eastAsia="等线" w:cs="Arial" w:hint="eastAsia"/>
          <w:sz w:val="22"/>
          <w:szCs w:val="22"/>
        </w:rPr>
        <w:t>（一）收入支出决算总体情况说明.</w:t>
      </w:r>
      <w:proofErr w:type="gramStart"/>
      <w:r>
        <w:rPr>
          <w:rStyle w:val="a6"/>
          <w:rFonts w:ascii="等线" w:eastAsia="等线" w:cs="Arial" w:hint="eastAsia"/>
          <w:sz w:val="22"/>
          <w:szCs w:val="22"/>
        </w:rPr>
        <w:t>..................................(</w:t>
      </w:r>
      <w:proofErr w:type="gramEnd"/>
      <w:r>
        <w:rPr>
          <w:rStyle w:val="a6"/>
          <w:rFonts w:ascii="等线" w:eastAsia="等线" w:cs="Arial" w:hint="eastAsia"/>
          <w:sz w:val="22"/>
          <w:szCs w:val="22"/>
        </w:rPr>
        <w:t>7)</w:t>
      </w:r>
    </w:p>
    <w:p w:rsidR="00206E51" w:rsidRDefault="00F75F6D">
      <w:pPr>
        <w:spacing w:line="600" w:lineRule="atLeast"/>
        <w:ind w:firstLine="640"/>
        <w:jc w:val="both"/>
      </w:pPr>
      <w:r>
        <w:rPr>
          <w:rStyle w:val="a6"/>
          <w:rFonts w:ascii="等线" w:eastAsia="等线" w:cs="Arial" w:hint="eastAsia"/>
          <w:sz w:val="22"/>
          <w:szCs w:val="22"/>
        </w:rPr>
        <w:t>（二）收入决算情况说明.......................................... (7)</w:t>
      </w:r>
    </w:p>
    <w:p w:rsidR="00206E51" w:rsidRDefault="00F75F6D">
      <w:pPr>
        <w:spacing w:line="600" w:lineRule="atLeast"/>
        <w:ind w:firstLine="640"/>
        <w:jc w:val="both"/>
      </w:pPr>
      <w:r>
        <w:rPr>
          <w:rStyle w:val="a6"/>
          <w:rFonts w:ascii="等线" w:eastAsia="等线" w:cs="Arial" w:hint="eastAsia"/>
          <w:sz w:val="22"/>
          <w:szCs w:val="22"/>
        </w:rPr>
        <w:t>（三）支出决算情况说明.......................................... (7)</w:t>
      </w:r>
    </w:p>
    <w:p w:rsidR="00206E51" w:rsidRDefault="00F75F6D">
      <w:pPr>
        <w:spacing w:line="600" w:lineRule="atLeast"/>
        <w:ind w:firstLine="640"/>
        <w:jc w:val="both"/>
      </w:pPr>
      <w:r>
        <w:rPr>
          <w:rStyle w:val="a6"/>
          <w:rFonts w:ascii="等线" w:eastAsia="等线" w:cs="Arial" w:hint="eastAsia"/>
          <w:sz w:val="22"/>
          <w:szCs w:val="22"/>
        </w:rPr>
        <w:t>（四）财政拨款收入支出决算总体情况说明.......................... (7)</w:t>
      </w:r>
    </w:p>
    <w:p w:rsidR="00206E51" w:rsidRDefault="00F75F6D">
      <w:pPr>
        <w:spacing w:line="600" w:lineRule="atLeast"/>
        <w:ind w:firstLine="640"/>
        <w:jc w:val="both"/>
      </w:pPr>
      <w:r>
        <w:rPr>
          <w:rStyle w:val="a6"/>
          <w:rFonts w:ascii="等线" w:eastAsia="等线" w:cs="Arial" w:hint="eastAsia"/>
          <w:sz w:val="22"/>
          <w:szCs w:val="22"/>
        </w:rPr>
        <w:t>（五）一般公共预算财政拨款支出决算情况说明...................... (8)</w:t>
      </w:r>
    </w:p>
    <w:p w:rsidR="00206E51" w:rsidRDefault="00F75F6D">
      <w:pPr>
        <w:spacing w:line="600" w:lineRule="atLeast"/>
        <w:ind w:firstLine="640"/>
        <w:jc w:val="both"/>
      </w:pPr>
      <w:r>
        <w:rPr>
          <w:rStyle w:val="a6"/>
          <w:rFonts w:ascii="等线" w:eastAsia="等线" w:cs="Arial" w:hint="eastAsia"/>
          <w:sz w:val="22"/>
          <w:szCs w:val="22"/>
        </w:rPr>
        <w:t>（六）一般公共预算财政拨款基本支出决算情况说明.</w:t>
      </w:r>
      <w:proofErr w:type="gramStart"/>
      <w:r>
        <w:rPr>
          <w:rStyle w:val="a6"/>
          <w:rFonts w:ascii="等线" w:eastAsia="等线" w:cs="Arial" w:hint="eastAsia"/>
          <w:sz w:val="22"/>
          <w:szCs w:val="22"/>
        </w:rPr>
        <w:t>..................(</w:t>
      </w:r>
      <w:proofErr w:type="gramEnd"/>
      <w:r>
        <w:rPr>
          <w:rStyle w:val="a6"/>
          <w:rFonts w:ascii="等线" w:eastAsia="等线" w:cs="Arial" w:hint="eastAsia"/>
          <w:sz w:val="22"/>
          <w:szCs w:val="22"/>
        </w:rPr>
        <w:t>10)</w:t>
      </w:r>
    </w:p>
    <w:p w:rsidR="00206E51" w:rsidRDefault="00F75F6D">
      <w:pPr>
        <w:spacing w:line="600" w:lineRule="atLeast"/>
        <w:ind w:firstLine="640"/>
        <w:jc w:val="both"/>
      </w:pPr>
      <w:r>
        <w:rPr>
          <w:rStyle w:val="a6"/>
          <w:rFonts w:ascii="等线" w:eastAsia="等线" w:cs="Arial" w:hint="eastAsia"/>
          <w:sz w:val="22"/>
          <w:szCs w:val="22"/>
        </w:rPr>
        <w:t>（七）政府性基金预算财政拨款支出决算总体情况说明................ (11)</w:t>
      </w:r>
    </w:p>
    <w:p w:rsidR="00206E51" w:rsidRDefault="00F75F6D">
      <w:pPr>
        <w:spacing w:line="600" w:lineRule="atLeast"/>
        <w:ind w:firstLine="640"/>
        <w:jc w:val="both"/>
      </w:pPr>
      <w:r>
        <w:rPr>
          <w:rStyle w:val="a6"/>
          <w:rFonts w:ascii="等线" w:eastAsia="等线" w:cs="Arial" w:hint="eastAsia"/>
          <w:sz w:val="22"/>
          <w:szCs w:val="22"/>
        </w:rPr>
        <w:t>（八）国有资本经营预算财政拨款支出决算总体情况说明.............. (12)</w:t>
      </w:r>
    </w:p>
    <w:p w:rsidR="00206E51" w:rsidRDefault="00F75F6D">
      <w:pPr>
        <w:spacing w:line="600" w:lineRule="atLeast"/>
        <w:ind w:firstLine="640"/>
        <w:jc w:val="both"/>
      </w:pPr>
      <w:r>
        <w:rPr>
          <w:rStyle w:val="a6"/>
          <w:rFonts w:ascii="等线" w:eastAsia="等线" w:cs="Arial" w:hint="eastAsia"/>
          <w:sz w:val="22"/>
          <w:szCs w:val="22"/>
        </w:rPr>
        <w:t>（九）一般公共预算财政拨款“三公”经费支出决算情况说明.......... (12)</w:t>
      </w:r>
    </w:p>
    <w:p w:rsidR="00206E51" w:rsidRDefault="00F75F6D">
      <w:pPr>
        <w:spacing w:line="600" w:lineRule="atLeast"/>
        <w:ind w:firstLine="640"/>
        <w:jc w:val="both"/>
      </w:pPr>
      <w:r>
        <w:rPr>
          <w:rStyle w:val="a6"/>
          <w:rFonts w:ascii="等线" w:eastAsia="等线" w:cs="Arial" w:hint="eastAsia"/>
          <w:sz w:val="22"/>
          <w:szCs w:val="22"/>
        </w:rPr>
        <w:t>（十）机关运行经费支出说明.</w:t>
      </w:r>
      <w:proofErr w:type="gramStart"/>
      <w:r>
        <w:rPr>
          <w:rStyle w:val="a6"/>
          <w:rFonts w:ascii="等线" w:eastAsia="等线" w:cs="Arial" w:hint="eastAsia"/>
          <w:sz w:val="22"/>
          <w:szCs w:val="22"/>
        </w:rPr>
        <w:t>......................................(</w:t>
      </w:r>
      <w:proofErr w:type="gramEnd"/>
      <w:r>
        <w:rPr>
          <w:rStyle w:val="a6"/>
          <w:rFonts w:ascii="等线" w:eastAsia="等线" w:cs="Arial" w:hint="eastAsia"/>
          <w:sz w:val="22"/>
          <w:szCs w:val="22"/>
        </w:rPr>
        <w:t>14)</w:t>
      </w:r>
    </w:p>
    <w:p w:rsidR="00206E51" w:rsidRDefault="00F75F6D">
      <w:pPr>
        <w:spacing w:line="600" w:lineRule="atLeast"/>
        <w:ind w:firstLine="640"/>
        <w:jc w:val="both"/>
      </w:pPr>
      <w:r>
        <w:rPr>
          <w:rStyle w:val="a6"/>
          <w:rFonts w:ascii="等线" w:eastAsia="等线" w:cs="Arial" w:hint="eastAsia"/>
          <w:sz w:val="22"/>
          <w:szCs w:val="22"/>
        </w:rPr>
        <w:t>（十一）政府采购支出说明.</w:t>
      </w:r>
      <w:proofErr w:type="gramStart"/>
      <w:r>
        <w:rPr>
          <w:rStyle w:val="a6"/>
          <w:rFonts w:ascii="等线" w:eastAsia="等线" w:cs="Arial" w:hint="eastAsia"/>
          <w:sz w:val="22"/>
          <w:szCs w:val="22"/>
        </w:rPr>
        <w:t>........................................(</w:t>
      </w:r>
      <w:proofErr w:type="gramEnd"/>
      <w:r>
        <w:rPr>
          <w:rStyle w:val="a6"/>
          <w:rFonts w:ascii="等线" w:eastAsia="等线" w:cs="Arial" w:hint="eastAsia"/>
          <w:sz w:val="22"/>
          <w:szCs w:val="22"/>
        </w:rPr>
        <w:t>15)</w:t>
      </w:r>
    </w:p>
    <w:p w:rsidR="00206E51" w:rsidRDefault="00F75F6D">
      <w:pPr>
        <w:spacing w:line="600" w:lineRule="atLeast"/>
        <w:ind w:firstLine="640"/>
        <w:jc w:val="both"/>
      </w:pPr>
      <w:r>
        <w:rPr>
          <w:rStyle w:val="a6"/>
          <w:rFonts w:ascii="等线" w:eastAsia="等线" w:cs="Arial" w:hint="eastAsia"/>
          <w:sz w:val="22"/>
          <w:szCs w:val="22"/>
        </w:rPr>
        <w:t>（十二）国有资产占有情况说明.</w:t>
      </w:r>
      <w:proofErr w:type="gramStart"/>
      <w:r>
        <w:rPr>
          <w:rStyle w:val="a6"/>
          <w:rFonts w:ascii="等线" w:eastAsia="等线" w:cs="Arial" w:hint="eastAsia"/>
          <w:sz w:val="22"/>
          <w:szCs w:val="22"/>
        </w:rPr>
        <w:t>....................................(</w:t>
      </w:r>
      <w:proofErr w:type="gramEnd"/>
      <w:r>
        <w:rPr>
          <w:rStyle w:val="a6"/>
          <w:rFonts w:ascii="等线" w:eastAsia="等线" w:cs="Arial" w:hint="eastAsia"/>
          <w:sz w:val="22"/>
          <w:szCs w:val="22"/>
        </w:rPr>
        <w:t>15)</w:t>
      </w:r>
    </w:p>
    <w:p w:rsidR="00206E51" w:rsidRDefault="00F75F6D">
      <w:pPr>
        <w:spacing w:line="600" w:lineRule="atLeast"/>
        <w:ind w:firstLine="640"/>
        <w:jc w:val="both"/>
      </w:pPr>
      <w:r>
        <w:rPr>
          <w:rStyle w:val="a6"/>
          <w:rFonts w:ascii="等线" w:eastAsia="等线" w:cs="Arial" w:hint="eastAsia"/>
          <w:sz w:val="22"/>
          <w:szCs w:val="22"/>
        </w:rPr>
        <w:t>（十三）预算绩效情况说明.</w:t>
      </w:r>
      <w:proofErr w:type="gramStart"/>
      <w:r>
        <w:rPr>
          <w:rStyle w:val="a6"/>
          <w:rFonts w:ascii="等线" w:eastAsia="等线" w:cs="Arial" w:hint="eastAsia"/>
          <w:sz w:val="22"/>
          <w:szCs w:val="22"/>
        </w:rPr>
        <w:t>.......................................(</w:t>
      </w:r>
      <w:proofErr w:type="gramEnd"/>
      <w:r>
        <w:rPr>
          <w:rStyle w:val="a6"/>
          <w:rFonts w:ascii="等线" w:eastAsia="等线" w:cs="Arial" w:hint="eastAsia"/>
          <w:sz w:val="22"/>
          <w:szCs w:val="22"/>
        </w:rPr>
        <w:t>16)</w:t>
      </w:r>
    </w:p>
    <w:p w:rsidR="00206E51" w:rsidRDefault="00F75F6D">
      <w:pPr>
        <w:spacing w:line="600" w:lineRule="atLeast"/>
        <w:ind w:firstLine="640"/>
        <w:jc w:val="both"/>
        <w:rPr>
          <w:rStyle w:val="a6"/>
          <w:rFonts w:ascii="等线" w:eastAsia="等线" w:cs="Arial"/>
          <w:sz w:val="22"/>
          <w:szCs w:val="22"/>
        </w:rPr>
      </w:pPr>
      <w:r>
        <w:rPr>
          <w:rStyle w:val="a6"/>
          <w:rFonts w:ascii="等线" w:eastAsia="等线" w:cs="Arial" w:hint="eastAsia"/>
          <w:sz w:val="22"/>
          <w:szCs w:val="22"/>
        </w:rPr>
        <w:t>四、名词解释.</w:t>
      </w:r>
      <w:proofErr w:type="gramStart"/>
      <w:r>
        <w:rPr>
          <w:rStyle w:val="a6"/>
          <w:rFonts w:ascii="等线" w:eastAsia="等线" w:cs="Arial" w:hint="eastAsia"/>
          <w:sz w:val="22"/>
          <w:szCs w:val="22"/>
        </w:rPr>
        <w:t>......................</w:t>
      </w:r>
      <w:r w:rsidR="00622CAF">
        <w:rPr>
          <w:rStyle w:val="a6"/>
          <w:rFonts w:ascii="等线" w:eastAsia="等线" w:cs="Arial" w:hint="eastAsia"/>
          <w:sz w:val="22"/>
          <w:szCs w:val="22"/>
        </w:rPr>
        <w:t>..............................(</w:t>
      </w:r>
      <w:proofErr w:type="gramEnd"/>
      <w:r w:rsidR="00622CAF">
        <w:rPr>
          <w:rStyle w:val="a6"/>
          <w:rFonts w:ascii="等线" w:eastAsia="等线" w:cs="Arial" w:hint="eastAsia"/>
          <w:sz w:val="22"/>
          <w:szCs w:val="22"/>
        </w:rPr>
        <w:t>23</w:t>
      </w:r>
      <w:r>
        <w:rPr>
          <w:rStyle w:val="a6"/>
          <w:rFonts w:ascii="等线" w:eastAsia="等线" w:cs="Arial" w:hint="eastAsia"/>
          <w:sz w:val="22"/>
          <w:szCs w:val="22"/>
        </w:rPr>
        <w:t>)</w:t>
      </w:r>
    </w:p>
    <w:p w:rsidR="00206E51" w:rsidRDefault="00206E51">
      <w:pPr>
        <w:spacing w:line="600" w:lineRule="atLeast"/>
        <w:ind w:firstLine="640"/>
        <w:jc w:val="both"/>
      </w:pPr>
    </w:p>
    <w:p w:rsidR="00206E51" w:rsidRDefault="00F75F6D">
      <w:pPr>
        <w:spacing w:line="600" w:lineRule="atLeast"/>
        <w:ind w:firstLine="640"/>
        <w:jc w:val="both"/>
      </w:pPr>
      <w:r>
        <w:rPr>
          <w:rStyle w:val="a6"/>
          <w:rFonts w:ascii="黑体" w:eastAsia="黑体" w:hAnsi="黑体" w:cs="Arial" w:hint="eastAsia"/>
          <w:sz w:val="32"/>
          <w:szCs w:val="32"/>
        </w:rPr>
        <w:lastRenderedPageBreak/>
        <w:t>一、概况</w:t>
      </w:r>
    </w:p>
    <w:p w:rsidR="00206E51" w:rsidRDefault="00F75F6D">
      <w:pPr>
        <w:spacing w:line="600" w:lineRule="atLeast"/>
        <w:ind w:firstLine="640"/>
        <w:jc w:val="both"/>
      </w:pPr>
      <w:r>
        <w:rPr>
          <w:rStyle w:val="a6"/>
          <w:rFonts w:ascii="楷体" w:eastAsia="楷体" w:hAnsi="楷体" w:cs="Arial" w:hint="eastAsia"/>
          <w:sz w:val="32"/>
          <w:szCs w:val="32"/>
        </w:rPr>
        <w:t>（一）部门职责</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拟订全县财税发展战略、规划、政策和改革方案并组织实施。分析预测宏观经济形势，参与制定有关宏观经济政策，提出贯彻国家宏观调控政策的建议。拟订和执行财政分配政策，完善鼓励公益事业发展的财税政策。</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2．贯彻执行国家、省、市、县的财政、税收、财务、会计、行政事业单位国有资产管理等法律、法规和方针、政策及其他有关政策。监督财税法规、政策的执行。</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3．负责各项财政收支管理。编制县级年度预决算草案并组织执行。受县政府委托，向县人大报告全县和县级预算及执行情况，向县人大常委会报告决算。组织制定经费开支标准、定额，审核批复部门（单位）的年度预决算。负责政府投资基金财政出资的预算管理和国有资产管理。负责县级预决算公开。研究提出县对乡镇财政体制改革的建议并组织实施。完善县对乡镇的转移支付制度。大力推动乡镇财政工作。</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4．按分工负责政府非税收入管理。负责政府性基金管理，按规定管理行政事业性收费。管理财政票据。执行彩票管理政策和有关办法，监管彩票市场，按规定管理彩票资金。负责统一公共支付平台建设和应用推广。</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lastRenderedPageBreak/>
        <w:t>5．组织制定国库管理制度、国库集中收付制度，指导和监督国库业务，按规定开展国库现金管理。组织制定财政专户、预算单位账户及资金存放管理制度。负责县级财政总预算会计核算与管理。负责编制全县财政总决算、部门决算、权责发生制政府财务报告。</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6．负责政府采购监督管理，拟订政府采购有关政策制度。负责政府采购投诉和举报案件处理。</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7．负责管理政府内外债。负责管理地方政府债务，防范和化解地方政府债务风险。负责地方政府债券管理工作。参与研究利用外资的有关政策，归口管理国际金融组织和外国政府的贷（赠）款业务。负责财政预算内行政事业单位和社会团体的非贸易外汇管理。</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8．负责制定行政事业性国有资产管理制度，按规定管理行政事业性国有资产。牵头编制国有资产管理情况报告。</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9．负责汇总和编制国有资本经营预决算草案。制定国有资本经营预算的制度和办法，</w:t>
      </w:r>
      <w:proofErr w:type="gramStart"/>
      <w:r>
        <w:rPr>
          <w:rFonts w:ascii="仿宋_GB2312" w:eastAsia="仿宋_GB2312" w:hint="eastAsia"/>
          <w:snapToGrid w:val="0"/>
          <w:sz w:val="32"/>
          <w:szCs w:val="32"/>
        </w:rPr>
        <w:t>收取县</w:t>
      </w:r>
      <w:proofErr w:type="gramEnd"/>
      <w:r>
        <w:rPr>
          <w:rFonts w:ascii="仿宋_GB2312" w:eastAsia="仿宋_GB2312" w:hint="eastAsia"/>
          <w:snapToGrid w:val="0"/>
          <w:sz w:val="32"/>
          <w:szCs w:val="32"/>
        </w:rPr>
        <w:t>本级企业国有资本收益。监督执行企业财务规章制度。制定需要全县统一规定的开支标准、支出政策和管理制度。</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10．按权限负责社会保险基金管理。负责汇总和编制社会保险基金预决算草案，制定社会保险基金财政补助政</w:t>
      </w:r>
      <w:r>
        <w:rPr>
          <w:rFonts w:ascii="仿宋_GB2312" w:eastAsia="仿宋_GB2312" w:hint="eastAsia"/>
          <w:snapToGrid w:val="0"/>
          <w:sz w:val="32"/>
          <w:szCs w:val="32"/>
        </w:rPr>
        <w:lastRenderedPageBreak/>
        <w:t>策和财务会计管理制度，管理社会保险基金收支和保值增值工作。参与制定社会保险政策。</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11．负责办理和监督全县财政的经济发展支出。负责编制政府投资项目资金预算。负责政府投资项目建设资金监督管理。研究提出城市建设财政事权和支出责任的建议并组织实施，拟订基本建设财政财务管理制度。负责有关政策性补贴和专项储备资金财政管理工作。</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12．负责实施预算绩效管理。建立预算绩效管理体系，组织实施事前绩效评估、绩效目标管理、绩效监控和绩效评价。</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13．管理和指导全县会计工作。监督和规范会计行为。组织实施国家统一的会计制度,指导和监督代理记账行业的业务，协助组织会计专业技术资格考试，指导和管理社会审计。</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14．负责财政信息化建设规划。负责财政信息化项目建设。负责财政数据管理。负责财政网络与信息安全管理工作。</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15．根据县政府授权，履行出资人职责，监管经营性国有资产，负责对所监管企业国有资产保值增值进行监督。依法对全县国有资产监督管理工作进行指导和监督。负责指导推进国有企业改革和重组。制定所监管企业国有资本</w:t>
      </w:r>
      <w:r>
        <w:rPr>
          <w:rFonts w:ascii="仿宋_GB2312" w:eastAsia="仿宋_GB2312" w:hint="eastAsia"/>
          <w:snapToGrid w:val="0"/>
          <w:sz w:val="32"/>
          <w:szCs w:val="32"/>
        </w:rPr>
        <w:lastRenderedPageBreak/>
        <w:t>布局结构整体规划并组织实施，推动国有经济布局和结构的战略性调整。负责指导国有企业建立现代企业制度。指导国有企业完善公司治理结构，负责企业董事会建设。负责建立健全经营者激励约束机制,负责所监管企业负责人经营业绩考核和薪酬水平审核，承担所监管企业收入分配监督管理工作。按照有关规定，承担所监管企业国有资本经营预算编制和监督执行等工作。牵头拟订企业国有资产管理的规范性文件，制定有关规章制度。按照出资人职责，指导督促所监管企业贯彻落实国家和省、市、县有关方针政策及法律、法规、标准等。指导所监管企业的安全生产管理工作。研究国有经济和所监管企业的运行状况，指导所监管企业风险管控。承担企业国有资产产权界定、产权登记、评估监管、清产核资、统计、企业采购、招商引资、综合评价等基础管理工作。履行国有企业党建工作的日常管理职责，负责所监管企业党建工作。协助开展县属企业领导班子建设和领导人员管理工作。</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16．完成县委、县政府交办的其他任务。</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17．职能转变。</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（1）深化财税体制改革。加快建立现代财政制度，推进财政事权和支出责任划分改革，完善县与乡镇收入划分，建立权责清晰、财力协调、区域均衡的县级与乡镇财政关</w:t>
      </w:r>
      <w:r>
        <w:rPr>
          <w:rFonts w:ascii="仿宋_GB2312" w:eastAsia="仿宋_GB2312" w:hint="eastAsia"/>
          <w:snapToGrid w:val="0"/>
          <w:sz w:val="32"/>
          <w:szCs w:val="32"/>
        </w:rPr>
        <w:lastRenderedPageBreak/>
        <w:t>系。完善转移支付制度，优化转移支付分类，规范转移支付项目，增强乡镇统筹能力。统一预算分配，全面实施绩效管理，建立全面规范透明、标准科学、约束有力的预算制度。组织实施政府性基金和行政事业性收费清单管理，完善监督制度。深化税收制度改革，健全地方税体系。</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（2）防范和化解地方政府债务风险。规范举债融资机制，严控法定限额内债务风险，着力防范隐性债务风险，牢牢守住不发生系统性风险的底线。</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3）坚持以管资本为主加强国有资产监管职责，按照市场经济规则和现代企业制度要求，重点管好国有资本布局、规范资本运作、提高资本回报、维护资本安全，建立完善以管资本为主的国有资产监督管理体制。</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（4）强化出资人监督职责，坚持出资人管理与监督有机统一，健全监管制度，改进监管方式，严格责任追究，加强监管协同、提高监管效能，促进国有企业持续健康发展。</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5）全面落实政企分开、政资分开、所有权和经营权分离原则，准确把握国有资产监管机构职责定位，将依法应由企业自主经营决策的事项归位于企业，将延伸到子企业的管理事项原则上归位于一级企业，将配合承担的公共管理职能归位于相关政府部门和单位。</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lastRenderedPageBreak/>
        <w:t>18．有关职责分工。</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（1）非税收入管理职责分工。县财政局负责制定和组织实施非税收入国库集中收缴制度，负责非税收入账户、收缴方式、退付退库等管理。国家税务总局苍南县税务局、县</w:t>
      </w:r>
      <w:proofErr w:type="gramStart"/>
      <w:r>
        <w:rPr>
          <w:rFonts w:ascii="仿宋_GB2312" w:eastAsia="仿宋_GB2312" w:hint="eastAsia"/>
          <w:snapToGrid w:val="0"/>
          <w:sz w:val="32"/>
          <w:szCs w:val="32"/>
        </w:rPr>
        <w:t>公安局等执收</w:t>
      </w:r>
      <w:proofErr w:type="gramEnd"/>
      <w:r>
        <w:rPr>
          <w:rFonts w:ascii="仿宋_GB2312" w:eastAsia="仿宋_GB2312" w:hint="eastAsia"/>
          <w:snapToGrid w:val="0"/>
          <w:sz w:val="32"/>
          <w:szCs w:val="32"/>
        </w:rPr>
        <w:t>单位按照非税收入国库集中收缴等有关规定，做好非税收入申报征收、会计与统计核算、缴费检查、欠费追缴和违法处罚等工作，及时共享有关非税收</w:t>
      </w:r>
      <w:proofErr w:type="gramStart"/>
      <w:r>
        <w:rPr>
          <w:rFonts w:ascii="仿宋_GB2312" w:eastAsia="仿宋_GB2312" w:hint="eastAsia"/>
          <w:snapToGrid w:val="0"/>
          <w:sz w:val="32"/>
          <w:szCs w:val="32"/>
        </w:rPr>
        <w:t>入项目</w:t>
      </w:r>
      <w:proofErr w:type="gramEnd"/>
      <w:r>
        <w:rPr>
          <w:rFonts w:ascii="仿宋_GB2312" w:eastAsia="仿宋_GB2312" w:hint="eastAsia"/>
          <w:snapToGrid w:val="0"/>
          <w:sz w:val="32"/>
          <w:szCs w:val="32"/>
        </w:rPr>
        <w:t>收缴信息。</w:t>
      </w:r>
    </w:p>
    <w:p w:rsidR="00206E51" w:rsidRDefault="00F75F6D">
      <w:pPr>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（2）公务用车管理职责分工。县财政局负责执法执勤用车（行政执法专用车）和特种专业技术用车的综合管理。县机关事务管理中心负责党政机关其他公务用车管理工作。</w:t>
      </w:r>
    </w:p>
    <w:p w:rsidR="00206E51" w:rsidRDefault="00F75F6D">
      <w:pPr>
        <w:spacing w:line="600" w:lineRule="atLeast"/>
        <w:ind w:firstLine="640"/>
        <w:jc w:val="both"/>
      </w:pPr>
      <w:r>
        <w:rPr>
          <w:rStyle w:val="a6"/>
          <w:rFonts w:ascii="楷体" w:eastAsia="楷体" w:hAnsi="楷体" w:cs="Arial" w:hint="eastAsia"/>
          <w:sz w:val="32"/>
          <w:szCs w:val="32"/>
        </w:rPr>
        <w:t>（二）机构设置</w:t>
      </w:r>
    </w:p>
    <w:p w:rsidR="00206E51" w:rsidRDefault="00F75F6D">
      <w:pPr>
        <w:spacing w:line="600" w:lineRule="atLeast"/>
        <w:ind w:firstLine="640"/>
        <w:jc w:val="both"/>
      </w:pPr>
      <w:r>
        <w:rPr>
          <w:rFonts w:ascii="仿宋" w:eastAsia="仿宋" w:hAnsi="仿宋" w:cs="Arial" w:hint="eastAsia"/>
          <w:sz w:val="32"/>
          <w:szCs w:val="32"/>
        </w:rPr>
        <w:t>从预算单位构成看，苍南县财政局部门决算包括：局本级决算。</w:t>
      </w:r>
    </w:p>
    <w:p w:rsidR="00206E51" w:rsidRDefault="00F75F6D">
      <w:pPr>
        <w:spacing w:line="600" w:lineRule="atLeast"/>
        <w:ind w:firstLine="640"/>
        <w:jc w:val="both"/>
      </w:pPr>
      <w:r>
        <w:rPr>
          <w:rFonts w:ascii="仿宋" w:eastAsia="仿宋" w:hAnsi="仿宋" w:cs="Arial" w:hint="eastAsia"/>
          <w:sz w:val="32"/>
          <w:szCs w:val="32"/>
        </w:rPr>
        <w:t>纳入苍南县财政局2021年度部门决算编制范围的二级预算单位包括：无</w:t>
      </w:r>
    </w:p>
    <w:p w:rsidR="00206E51" w:rsidRDefault="00F75F6D">
      <w:pPr>
        <w:spacing w:line="600" w:lineRule="atLeast"/>
        <w:ind w:firstLine="640"/>
        <w:jc w:val="both"/>
      </w:pPr>
      <w:r>
        <w:rPr>
          <w:rStyle w:val="a6"/>
          <w:rFonts w:ascii="黑体" w:eastAsia="黑体" w:hAnsi="黑体" w:cs="Arial" w:hint="eastAsia"/>
          <w:sz w:val="32"/>
          <w:szCs w:val="32"/>
        </w:rPr>
        <w:t>二、2021年度部门决算公开表</w:t>
      </w:r>
    </w:p>
    <w:p w:rsidR="00206E51" w:rsidRDefault="00F75F6D">
      <w:pPr>
        <w:spacing w:line="600" w:lineRule="atLeast"/>
        <w:ind w:firstLine="640"/>
        <w:jc w:val="both"/>
      </w:pPr>
      <w:r>
        <w:rPr>
          <w:rFonts w:ascii="仿宋" w:eastAsia="仿宋" w:hAnsi="仿宋" w:cs="Arial" w:hint="eastAsia"/>
          <w:sz w:val="32"/>
          <w:szCs w:val="32"/>
        </w:rPr>
        <w:t>详见附表。</w:t>
      </w:r>
    </w:p>
    <w:p w:rsidR="00206E51" w:rsidRDefault="00F75F6D">
      <w:pPr>
        <w:spacing w:line="600" w:lineRule="atLeast"/>
        <w:ind w:firstLine="640"/>
        <w:jc w:val="both"/>
      </w:pPr>
      <w:r>
        <w:rPr>
          <w:rStyle w:val="a6"/>
          <w:rFonts w:ascii="黑体" w:eastAsia="黑体" w:hAnsi="黑体" w:cs="Arial" w:hint="eastAsia"/>
          <w:sz w:val="32"/>
          <w:szCs w:val="32"/>
        </w:rPr>
        <w:t>三、2021年度部门决算情况说明</w:t>
      </w:r>
    </w:p>
    <w:p w:rsidR="00206E51" w:rsidRDefault="00F75F6D">
      <w:pPr>
        <w:spacing w:line="600" w:lineRule="atLeast"/>
        <w:ind w:firstLine="640"/>
        <w:jc w:val="both"/>
      </w:pPr>
      <w:r>
        <w:rPr>
          <w:rStyle w:val="a6"/>
          <w:rFonts w:ascii="楷体" w:eastAsia="楷体" w:hAnsi="楷体" w:cs="Arial" w:hint="eastAsia"/>
          <w:sz w:val="32"/>
          <w:szCs w:val="32"/>
        </w:rPr>
        <w:t>（一）收入支出决算总体情况说明</w:t>
      </w:r>
    </w:p>
    <w:p w:rsidR="00206E51" w:rsidRDefault="00F75F6D">
      <w:pPr>
        <w:spacing w:line="600" w:lineRule="atLeast"/>
        <w:ind w:firstLine="640"/>
        <w:jc w:val="both"/>
      </w:pPr>
      <w:r>
        <w:rPr>
          <w:rFonts w:ascii="仿宋" w:eastAsia="仿宋" w:hAnsi="仿宋" w:cs="Arial" w:hint="eastAsia"/>
          <w:sz w:val="32"/>
          <w:szCs w:val="32"/>
        </w:rPr>
        <w:lastRenderedPageBreak/>
        <w:t>2021年度收入总计4,329.94万元，支出总计4,329.94万元,与2020年度相比，各减少67.02万元，下降1.52%。主要原因是：人员较少。</w:t>
      </w:r>
    </w:p>
    <w:p w:rsidR="00206E51" w:rsidRDefault="00F75F6D">
      <w:pPr>
        <w:spacing w:line="600" w:lineRule="atLeast"/>
        <w:ind w:firstLine="640"/>
        <w:jc w:val="both"/>
      </w:pPr>
      <w:r>
        <w:rPr>
          <w:rStyle w:val="a6"/>
          <w:rFonts w:ascii="楷体" w:eastAsia="楷体" w:hAnsi="楷体" w:cs="Arial" w:hint="eastAsia"/>
          <w:sz w:val="32"/>
          <w:szCs w:val="32"/>
        </w:rPr>
        <w:t>（二）收入决算情况说明</w:t>
      </w:r>
    </w:p>
    <w:p w:rsidR="00206E51" w:rsidRDefault="00F75F6D">
      <w:pPr>
        <w:spacing w:line="600" w:lineRule="atLeast"/>
        <w:ind w:firstLine="640"/>
        <w:jc w:val="both"/>
      </w:pPr>
      <w:r>
        <w:rPr>
          <w:rFonts w:ascii="仿宋" w:eastAsia="仿宋" w:hAnsi="仿宋" w:cs="Arial" w:hint="eastAsia"/>
          <w:sz w:val="32"/>
          <w:szCs w:val="32"/>
        </w:rPr>
        <w:t>本年收入合计4,329.94万元；包括财政拨款收入4,329.94万元（其中，一般公共预算4,016.30万元，政府性基金预算313.64万元,国有资本经营预算0万元），占收入合计100.00%；上级补助收入0万元，占收入合计0%；事业收入0万元，占收入合计0%；经营收入0万元，占收入合计0%；附属单位上缴收入0万元，占收入合计0%；其他收入0万元，占收入合计0%。</w:t>
      </w:r>
    </w:p>
    <w:p w:rsidR="00206E51" w:rsidRDefault="00F75F6D">
      <w:pPr>
        <w:spacing w:line="600" w:lineRule="atLeast"/>
        <w:ind w:firstLine="640"/>
        <w:jc w:val="both"/>
      </w:pPr>
      <w:r>
        <w:rPr>
          <w:rStyle w:val="a6"/>
          <w:rFonts w:ascii="楷体" w:eastAsia="楷体" w:hAnsi="楷体" w:cs="Arial" w:hint="eastAsia"/>
          <w:sz w:val="32"/>
          <w:szCs w:val="32"/>
        </w:rPr>
        <w:t>（三）支出决算情况说明</w:t>
      </w:r>
    </w:p>
    <w:p w:rsidR="00206E51" w:rsidRDefault="00F75F6D">
      <w:pPr>
        <w:spacing w:line="600" w:lineRule="atLeast"/>
        <w:ind w:firstLine="640"/>
        <w:jc w:val="both"/>
      </w:pPr>
      <w:r>
        <w:rPr>
          <w:rFonts w:ascii="仿宋" w:eastAsia="仿宋" w:hAnsi="仿宋" w:cs="Arial" w:hint="eastAsia"/>
          <w:sz w:val="32"/>
          <w:szCs w:val="32"/>
        </w:rPr>
        <w:t>本年支出合计4,329.94万元，其中基本支出3,287.18万元，占75.92%；项目支出1,042.76万元，占24.08%；上缴上级支出0万元，占0%；经营支出0万元，占0%；对附属单位补助支出0万元，占0%。</w:t>
      </w:r>
    </w:p>
    <w:p w:rsidR="00206E51" w:rsidRDefault="00F75F6D">
      <w:pPr>
        <w:spacing w:line="600" w:lineRule="atLeast"/>
        <w:ind w:firstLine="640"/>
        <w:jc w:val="both"/>
      </w:pPr>
      <w:r>
        <w:rPr>
          <w:rStyle w:val="a6"/>
          <w:rFonts w:ascii="楷体" w:eastAsia="楷体" w:hAnsi="楷体" w:cs="Arial" w:hint="eastAsia"/>
          <w:sz w:val="32"/>
          <w:szCs w:val="32"/>
        </w:rPr>
        <w:t>（四）财政拨款收入支出决算总体情况说明</w:t>
      </w:r>
    </w:p>
    <w:p w:rsidR="00206E51" w:rsidRDefault="00F75F6D">
      <w:pPr>
        <w:spacing w:line="600" w:lineRule="atLeast"/>
        <w:ind w:firstLine="640"/>
        <w:jc w:val="both"/>
      </w:pPr>
      <w:r>
        <w:rPr>
          <w:rFonts w:ascii="仿宋" w:eastAsia="仿宋" w:hAnsi="仿宋" w:cs="Arial" w:hint="eastAsia"/>
          <w:sz w:val="32"/>
          <w:szCs w:val="32"/>
        </w:rPr>
        <w:t>2021年度财政拨款收入总计4,329.94万元，支出总计4,329.94万元，与2020年相比，各减少67.02万元，下降1.52%。主要原因是人员较少；财政拨款支出年初预算数</w:t>
      </w:r>
      <w:r>
        <w:rPr>
          <w:rFonts w:ascii="仿宋" w:eastAsia="仿宋" w:hAnsi="仿宋" w:cs="Arial" w:hint="eastAsia"/>
          <w:sz w:val="32"/>
          <w:szCs w:val="32"/>
        </w:rPr>
        <w:lastRenderedPageBreak/>
        <w:t>4389.31万元，完成年初预算的98.65%，主要原因是部分项目经费没有完全支出。</w:t>
      </w:r>
    </w:p>
    <w:p w:rsidR="00206E51" w:rsidRDefault="00F75F6D">
      <w:pPr>
        <w:spacing w:line="600" w:lineRule="atLeast"/>
        <w:ind w:firstLine="640"/>
        <w:jc w:val="both"/>
      </w:pPr>
      <w:r>
        <w:rPr>
          <w:rStyle w:val="a6"/>
          <w:rFonts w:ascii="楷体" w:eastAsia="楷体" w:hAnsi="楷体" w:cs="Arial" w:hint="eastAsia"/>
          <w:sz w:val="32"/>
          <w:szCs w:val="32"/>
        </w:rPr>
        <w:t>（五）一般公共预算财政拨款支出决算情况说明</w:t>
      </w:r>
    </w:p>
    <w:p w:rsidR="00206E51" w:rsidRDefault="00F75F6D">
      <w:pPr>
        <w:spacing w:line="600" w:lineRule="atLeast"/>
        <w:ind w:firstLine="640"/>
        <w:jc w:val="both"/>
      </w:pPr>
      <w:r>
        <w:rPr>
          <w:rStyle w:val="a6"/>
          <w:rFonts w:ascii="仿宋" w:eastAsia="仿宋" w:hAnsi="仿宋" w:cs="Arial" w:hint="eastAsia"/>
          <w:sz w:val="32"/>
          <w:szCs w:val="32"/>
        </w:rPr>
        <w:t>1.一般公共预算财政拨款支出决算总体情况。</w:t>
      </w:r>
    </w:p>
    <w:p w:rsidR="00206E51" w:rsidRDefault="00F75F6D">
      <w:pPr>
        <w:spacing w:line="600" w:lineRule="atLeast"/>
        <w:ind w:firstLine="640"/>
        <w:jc w:val="both"/>
      </w:pPr>
      <w:r>
        <w:rPr>
          <w:rFonts w:ascii="仿宋" w:eastAsia="仿宋" w:hAnsi="仿宋" w:cs="Arial" w:hint="eastAsia"/>
          <w:sz w:val="32"/>
          <w:szCs w:val="32"/>
        </w:rPr>
        <w:t>2021年度一般公共预算财政拨款支出4,016.30万元，占本年支出合计的92.76%。与2020年相比，一般公共预算财政拨款支出减少380.66万元，下降8.66%。主要原因是：人员减少。</w:t>
      </w:r>
    </w:p>
    <w:p w:rsidR="00206E51" w:rsidRDefault="00F75F6D">
      <w:pPr>
        <w:spacing w:line="600" w:lineRule="atLeast"/>
        <w:ind w:firstLine="640"/>
        <w:jc w:val="both"/>
      </w:pPr>
      <w:r>
        <w:rPr>
          <w:rStyle w:val="a6"/>
          <w:rFonts w:ascii="仿宋" w:eastAsia="仿宋" w:hAnsi="仿宋" w:cs="Arial" w:hint="eastAsia"/>
          <w:sz w:val="32"/>
          <w:szCs w:val="32"/>
        </w:rPr>
        <w:t>2.一般公共预算财政拨款支出决算结构情况。</w:t>
      </w:r>
    </w:p>
    <w:p w:rsidR="00206E51" w:rsidRDefault="00F75F6D">
      <w:pPr>
        <w:spacing w:line="600" w:lineRule="atLeast"/>
        <w:ind w:firstLine="640"/>
        <w:jc w:val="both"/>
      </w:pPr>
      <w:r>
        <w:rPr>
          <w:rFonts w:ascii="仿宋" w:eastAsia="仿宋" w:hAnsi="仿宋" w:cs="Arial" w:hint="eastAsia"/>
          <w:sz w:val="32"/>
          <w:szCs w:val="32"/>
        </w:rPr>
        <w:t>2021年度一般公共预算财政拨款支出4,016.30万元，主要用于以下方面：一般公共服务（类）支出3,755.13万元，占93.50%；国防（类）支出0万元,占0%；公共安全（类）支出0万元,占0%；教育（类）支出0万元,占0%；科学技术（类）支出0万元,占0%；文化旅游体育与传媒（类）支出0万元,占0%；社会保障和就业（类）支出261.17万元,占6.50%；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w:t>
      </w:r>
      <w:r>
        <w:rPr>
          <w:rFonts w:ascii="仿宋" w:eastAsia="仿宋" w:hAnsi="仿宋" w:cs="Arial" w:hint="eastAsia"/>
          <w:sz w:val="32"/>
          <w:szCs w:val="32"/>
        </w:rPr>
        <w:lastRenderedPageBreak/>
        <w:t>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206E51" w:rsidRDefault="00F75F6D">
      <w:pPr>
        <w:spacing w:line="600" w:lineRule="atLeast"/>
        <w:ind w:firstLine="640"/>
        <w:jc w:val="both"/>
      </w:pPr>
      <w:r>
        <w:rPr>
          <w:rStyle w:val="a6"/>
          <w:rFonts w:ascii="仿宋" w:eastAsia="仿宋" w:hAnsi="仿宋" w:cs="Arial" w:hint="eastAsia"/>
          <w:sz w:val="32"/>
          <w:szCs w:val="32"/>
        </w:rPr>
        <w:t>3.一般公共预算财政拨款支出决算具体情况。</w:t>
      </w:r>
    </w:p>
    <w:p w:rsidR="00206E51" w:rsidRDefault="00F75F6D">
      <w:pPr>
        <w:spacing w:line="600" w:lineRule="atLeast"/>
        <w:ind w:firstLine="640"/>
        <w:jc w:val="both"/>
      </w:pPr>
      <w:r>
        <w:rPr>
          <w:rFonts w:ascii="仿宋" w:eastAsia="仿宋" w:hAnsi="仿宋" w:cs="Arial" w:hint="eastAsia"/>
          <w:sz w:val="32"/>
          <w:szCs w:val="32"/>
        </w:rPr>
        <w:t>2021年度一般公共预算财政拨款支出年初预算为4042.40万元，支出决算为4,016.30万元,完成年初预算的99.35%，主要原因是部分项目经费没有完全支出。其中：</w:t>
      </w:r>
    </w:p>
    <w:p w:rsidR="00206E51" w:rsidRDefault="00F75F6D">
      <w:pPr>
        <w:spacing w:line="600" w:lineRule="atLeast"/>
        <w:ind w:firstLine="640"/>
        <w:jc w:val="both"/>
      </w:pPr>
      <w:r>
        <w:rPr>
          <w:rFonts w:ascii="仿宋" w:eastAsia="仿宋" w:hAnsi="仿宋" w:cs="Arial" w:hint="eastAsia"/>
          <w:sz w:val="32"/>
          <w:szCs w:val="32"/>
        </w:rPr>
        <w:t>一般公共服务支出（类）财政事务（款）行政运行（项）。年初预算为1331.32万元，支出决算为1331.19万元，完成年初预算的99.99%，决算数小于预算数的主要原因是人员减少导致部分经费未完全支出。</w:t>
      </w:r>
    </w:p>
    <w:p w:rsidR="00206E51" w:rsidRDefault="00F75F6D">
      <w:pPr>
        <w:spacing w:line="600" w:lineRule="atLeast"/>
        <w:ind w:firstLine="640"/>
        <w:jc w:val="both"/>
      </w:pPr>
      <w:r>
        <w:rPr>
          <w:rFonts w:ascii="仿宋" w:eastAsia="仿宋" w:hAnsi="仿宋" w:cs="Arial" w:hint="eastAsia"/>
          <w:sz w:val="32"/>
          <w:szCs w:val="32"/>
        </w:rPr>
        <w:t>一般公共服务支出（类）财政事务（款）一般行政管理事务（项）。年初预算为753.69万元，支出决算为729.12万元，完成年初预算的96.74%，决算数小于预算数的主要原因是疫情及其他影响导致部分项目经费没有完全支出。</w:t>
      </w:r>
    </w:p>
    <w:p w:rsidR="00206E51" w:rsidRDefault="00F75F6D">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一般公共服务支出（类）财政事务（款）事业运行（项）。年初预算为1696.22万元，支出决算为1694.82</w:t>
      </w:r>
      <w:r>
        <w:rPr>
          <w:rFonts w:ascii="仿宋" w:eastAsia="仿宋" w:hAnsi="仿宋" w:cs="Arial" w:hint="eastAsia"/>
          <w:sz w:val="32"/>
          <w:szCs w:val="32"/>
        </w:rPr>
        <w:lastRenderedPageBreak/>
        <w:t>万元，完成年初预算的99.92%，决算数小于预算数的主要原因是人员减少导致部分经费未完全支出。</w:t>
      </w:r>
    </w:p>
    <w:p w:rsidR="00206E51" w:rsidRDefault="00F75F6D">
      <w:pPr>
        <w:spacing w:line="600" w:lineRule="atLeast"/>
        <w:ind w:firstLine="640"/>
        <w:jc w:val="both"/>
      </w:pPr>
      <w:r>
        <w:rPr>
          <w:rFonts w:ascii="仿宋" w:eastAsia="仿宋" w:hAnsi="仿宋" w:cs="Arial" w:hint="eastAsia"/>
          <w:sz w:val="32"/>
          <w:szCs w:val="32"/>
        </w:rPr>
        <w:t>社会保障和就业支出（类）行政事业单位养老支出（款）机关事业单位基本养老保险缴费支出（项）。年初预算为174.11万元，支出决算为174.11万元，完成年初预算的100%，决算数与预算数一致。</w:t>
      </w:r>
    </w:p>
    <w:p w:rsidR="00206E51" w:rsidRDefault="00F75F6D">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社会保障和就业支出（类）行政事业单位养老支出（款）机关事业单位职业年金缴费支出（项）。年初预算为87.06万元，支出决算为87.06万元，完成年初预算的100%，决算数与预算数一致。</w:t>
      </w:r>
    </w:p>
    <w:p w:rsidR="00206E51" w:rsidRDefault="00F75F6D">
      <w:pPr>
        <w:spacing w:line="600" w:lineRule="atLeast"/>
        <w:ind w:firstLine="640"/>
        <w:jc w:val="both"/>
      </w:pPr>
      <w:r>
        <w:rPr>
          <w:rStyle w:val="a6"/>
          <w:rFonts w:ascii="楷体" w:eastAsia="楷体" w:hAnsi="楷体" w:cs="Arial" w:hint="eastAsia"/>
          <w:sz w:val="32"/>
          <w:szCs w:val="32"/>
        </w:rPr>
        <w:t>（六）一般公共预算财政拨款基本支出决算情况说明</w:t>
      </w:r>
    </w:p>
    <w:p w:rsidR="00206E51" w:rsidRDefault="00F75F6D">
      <w:pPr>
        <w:spacing w:line="600" w:lineRule="atLeast"/>
        <w:ind w:firstLine="640"/>
        <w:jc w:val="both"/>
      </w:pPr>
      <w:r>
        <w:rPr>
          <w:rFonts w:ascii="仿宋" w:eastAsia="仿宋" w:hAnsi="仿宋" w:cs="Arial" w:hint="eastAsia"/>
          <w:sz w:val="32"/>
          <w:szCs w:val="32"/>
        </w:rPr>
        <w:t>2021年度一般公共预算财政拨款基本支出3,287.18万元，其中：</w:t>
      </w:r>
    </w:p>
    <w:p w:rsidR="00206E51" w:rsidRDefault="00F75F6D">
      <w:pPr>
        <w:spacing w:line="600" w:lineRule="atLeast"/>
        <w:ind w:firstLine="640"/>
        <w:jc w:val="both"/>
      </w:pPr>
      <w:r>
        <w:rPr>
          <w:rFonts w:ascii="仿宋" w:eastAsia="仿宋" w:hAnsi="仿宋" w:cs="Arial" w:hint="eastAsia"/>
          <w:sz w:val="32"/>
          <w:szCs w:val="32"/>
        </w:rPr>
        <w:t>人员经费2,998.23万元，主要包括：基本工资、津贴补贴、奖金、绩效工资、机关事业单位基本养老保险费、职业年金缴费、职工基本医疗保险缴费、公务员医疗补助缴费、其他社会保障缴费、住房公积金、其他工资福利支出、生活补助。</w:t>
      </w:r>
    </w:p>
    <w:p w:rsidR="00206E51" w:rsidRDefault="00F75F6D">
      <w:pPr>
        <w:spacing w:line="600" w:lineRule="atLeast"/>
        <w:ind w:firstLine="640"/>
        <w:jc w:val="both"/>
      </w:pPr>
      <w:r>
        <w:rPr>
          <w:rFonts w:ascii="仿宋" w:eastAsia="仿宋" w:hAnsi="仿宋" w:cs="Arial" w:hint="eastAsia"/>
          <w:sz w:val="32"/>
          <w:szCs w:val="32"/>
        </w:rPr>
        <w:t>公用经费288.95万元，主要包括：办公费、印刷费、咨询费、邮电费、差旅费、维修（护）费、会议费、培训</w:t>
      </w:r>
      <w:r>
        <w:rPr>
          <w:rFonts w:ascii="仿宋" w:eastAsia="仿宋" w:hAnsi="仿宋" w:cs="Arial" w:hint="eastAsia"/>
          <w:sz w:val="32"/>
          <w:szCs w:val="32"/>
        </w:rPr>
        <w:lastRenderedPageBreak/>
        <w:t>费、公务接待费、劳务费、委托业务费、工会经费、福利费、其他交通费用、其他商品和服务支出、办公设备购置。</w:t>
      </w:r>
    </w:p>
    <w:p w:rsidR="00206E51" w:rsidRDefault="00F75F6D">
      <w:pPr>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（七）政府性基金预算财政拨款支出决算总体情况</w:t>
      </w:r>
    </w:p>
    <w:p w:rsidR="00206E51" w:rsidRDefault="00F75F6D">
      <w:pPr>
        <w:spacing w:line="600" w:lineRule="atLeast"/>
        <w:ind w:firstLine="640"/>
        <w:jc w:val="both"/>
      </w:pPr>
      <w:r>
        <w:rPr>
          <w:rStyle w:val="a6"/>
          <w:rFonts w:ascii="仿宋" w:eastAsia="仿宋" w:hAnsi="仿宋" w:cs="Arial" w:hint="eastAsia"/>
          <w:sz w:val="32"/>
          <w:szCs w:val="32"/>
        </w:rPr>
        <w:t>1.政府性基金预算财政拨款支出决算总体情况。</w:t>
      </w:r>
    </w:p>
    <w:p w:rsidR="00206E51" w:rsidRDefault="00F75F6D">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2021年度政府性基金预算财政拨款支出313.64万元，占本年支出合计的7.24%。与2020年相比，政府性基金预算财政拨款支出增加313.64万元，增长0%。主要原因是：项目经费科目代码的变动。</w:t>
      </w:r>
    </w:p>
    <w:p w:rsidR="00206E51" w:rsidRDefault="00F75F6D">
      <w:pPr>
        <w:spacing w:line="600" w:lineRule="atLeast"/>
        <w:ind w:firstLine="640"/>
        <w:jc w:val="both"/>
      </w:pPr>
      <w:r>
        <w:rPr>
          <w:rStyle w:val="a6"/>
          <w:rFonts w:ascii="仿宋" w:eastAsia="仿宋" w:hAnsi="仿宋" w:cs="Arial" w:hint="eastAsia"/>
          <w:sz w:val="32"/>
          <w:szCs w:val="32"/>
        </w:rPr>
        <w:t>2.政府性基金预算财政拨款支出决算结构情况。</w:t>
      </w:r>
    </w:p>
    <w:p w:rsidR="00206E51" w:rsidRDefault="00F75F6D">
      <w:pPr>
        <w:spacing w:line="600" w:lineRule="atLeast"/>
        <w:ind w:firstLine="640"/>
        <w:jc w:val="both"/>
      </w:pPr>
      <w:r>
        <w:rPr>
          <w:rFonts w:ascii="仿宋" w:eastAsia="仿宋" w:hAnsi="仿宋" w:cs="Arial" w:hint="eastAsia"/>
          <w:sz w:val="32"/>
          <w:szCs w:val="32"/>
        </w:rPr>
        <w:t>2021年度政府性基金预算财政拨款支出313.64万元，主要用于以下方面：科学技术（类）支出0万元,占0%；文化旅游体育与传媒（类）支出0万元,占0%；社会保障和就业（类）支出0万元,占0%；节能环保（类）支出0万元,占0%；城乡社区（类）支出313.64万元,占100.00%；农林水（类）支出0万元,占0%；交通运输（类）支出0万元,占0%；资源勘探信息等（类）支出0万元,占0%；金融（类）支出0万元,占0%；其他（类）支出0万元,占0%；债务付息（类）支出0万元,占0%；抗</w:t>
      </w:r>
      <w:proofErr w:type="gramStart"/>
      <w:r>
        <w:rPr>
          <w:rFonts w:ascii="仿宋" w:eastAsia="仿宋" w:hAnsi="仿宋" w:cs="Arial" w:hint="eastAsia"/>
          <w:sz w:val="32"/>
          <w:szCs w:val="32"/>
        </w:rPr>
        <w:t>疫</w:t>
      </w:r>
      <w:proofErr w:type="gramEnd"/>
      <w:r>
        <w:rPr>
          <w:rFonts w:ascii="仿宋" w:eastAsia="仿宋" w:hAnsi="仿宋" w:cs="Arial" w:hint="eastAsia"/>
          <w:sz w:val="32"/>
          <w:szCs w:val="32"/>
        </w:rPr>
        <w:t>特别国债安排（类）支出0万元,占0%。</w:t>
      </w:r>
    </w:p>
    <w:p w:rsidR="00206E51" w:rsidRDefault="00F75F6D">
      <w:pPr>
        <w:spacing w:line="600" w:lineRule="atLeast"/>
        <w:ind w:firstLine="640"/>
        <w:jc w:val="both"/>
      </w:pPr>
      <w:r>
        <w:rPr>
          <w:rStyle w:val="a6"/>
          <w:rFonts w:ascii="仿宋" w:eastAsia="仿宋" w:hAnsi="仿宋" w:cs="Arial" w:hint="eastAsia"/>
          <w:sz w:val="32"/>
          <w:szCs w:val="32"/>
        </w:rPr>
        <w:t>3.政府性基金预算财政拨款支出决算具体情况。</w:t>
      </w:r>
    </w:p>
    <w:p w:rsidR="00206E51" w:rsidRDefault="00F75F6D">
      <w:pPr>
        <w:spacing w:line="600" w:lineRule="atLeast"/>
        <w:ind w:firstLine="640"/>
        <w:jc w:val="both"/>
      </w:pPr>
      <w:r>
        <w:rPr>
          <w:rFonts w:ascii="仿宋" w:eastAsia="仿宋" w:hAnsi="仿宋" w:cs="Arial" w:hint="eastAsia"/>
          <w:sz w:val="32"/>
          <w:szCs w:val="32"/>
        </w:rPr>
        <w:lastRenderedPageBreak/>
        <w:t>2021年度政府性基金预算财政拨款支出年初预算为346.91万元，支出决算为313.64万元,完成年初预算的90.41%，主要原因是政策变动导致部分信息化建设及维护工作未开展。其中：</w:t>
      </w:r>
    </w:p>
    <w:p w:rsidR="00206E51" w:rsidRDefault="00F75F6D">
      <w:pPr>
        <w:spacing w:line="600" w:lineRule="atLeast"/>
        <w:ind w:firstLine="640"/>
        <w:jc w:val="both"/>
      </w:pPr>
      <w:r>
        <w:rPr>
          <w:rFonts w:ascii="仿宋" w:eastAsia="仿宋" w:hAnsi="仿宋" w:cs="Arial" w:hint="eastAsia"/>
          <w:sz w:val="32"/>
          <w:szCs w:val="32"/>
        </w:rPr>
        <w:t>城乡社区支出（类）国有土地使用权出让收入安排的支出（款）其他国有土地使用权出让收入安排的支出（项）。年初预算为346.91万元，支出决算为313.64万元，完成年初预算的90.41%，决算数小于预算数的主要原因是政策变动导致部分信息化建设及维护工作未开展。</w:t>
      </w:r>
    </w:p>
    <w:p w:rsidR="00206E51" w:rsidRDefault="00F75F6D">
      <w:pPr>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（八）国有资本经营预算财政拨款支出决算总体情况</w:t>
      </w:r>
    </w:p>
    <w:p w:rsidR="00206E51" w:rsidRDefault="00F75F6D">
      <w:pPr>
        <w:spacing w:line="600" w:lineRule="atLeast"/>
        <w:ind w:firstLine="640"/>
        <w:jc w:val="both"/>
        <w:rPr>
          <w:rFonts w:ascii="仿宋" w:eastAsia="仿宋" w:hAnsi="仿宋"/>
        </w:rPr>
      </w:pPr>
      <w:r>
        <w:rPr>
          <w:rFonts w:ascii="仿宋" w:eastAsia="仿宋" w:hAnsi="仿宋" w:cs="Arial" w:hint="eastAsia"/>
          <w:sz w:val="32"/>
          <w:szCs w:val="32"/>
        </w:rPr>
        <w:t>本部门2021年度无国有资本经营预算财政拨款收支安排，故无相关数据。</w:t>
      </w:r>
    </w:p>
    <w:p w:rsidR="00206E51" w:rsidRDefault="00F75F6D">
      <w:pPr>
        <w:spacing w:line="600" w:lineRule="atLeast"/>
        <w:ind w:firstLine="640"/>
        <w:jc w:val="both"/>
      </w:pPr>
      <w:r>
        <w:rPr>
          <w:rStyle w:val="a6"/>
          <w:rFonts w:ascii="楷体" w:eastAsia="楷体" w:hAnsi="楷体" w:cs="Arial" w:hint="eastAsia"/>
          <w:sz w:val="32"/>
          <w:szCs w:val="32"/>
        </w:rPr>
        <w:t>（九）一般公共预算财政拨款“三公”经费支出决算情况说明</w:t>
      </w:r>
    </w:p>
    <w:p w:rsidR="00206E51" w:rsidRDefault="00F75F6D">
      <w:pPr>
        <w:spacing w:line="600" w:lineRule="atLeast"/>
        <w:ind w:firstLine="640"/>
        <w:jc w:val="both"/>
      </w:pPr>
      <w:r>
        <w:rPr>
          <w:rStyle w:val="a6"/>
          <w:rFonts w:ascii="仿宋" w:eastAsia="仿宋" w:hAnsi="仿宋" w:cs="Arial" w:hint="eastAsia"/>
          <w:sz w:val="32"/>
          <w:szCs w:val="32"/>
        </w:rPr>
        <w:t xml:space="preserve">1.“三公”经费一般公共预算财政拨款支出决算总体情况说明。 </w:t>
      </w:r>
    </w:p>
    <w:p w:rsidR="00206E51" w:rsidRDefault="00F75F6D">
      <w:pPr>
        <w:spacing w:line="600" w:lineRule="atLeast"/>
        <w:ind w:firstLine="640"/>
        <w:jc w:val="both"/>
      </w:pPr>
      <w:r>
        <w:rPr>
          <w:rFonts w:ascii="仿宋" w:eastAsia="仿宋" w:hAnsi="仿宋" w:cs="Arial" w:hint="eastAsia"/>
          <w:sz w:val="32"/>
          <w:szCs w:val="32"/>
        </w:rPr>
        <w:t>2021年度“三公”经费一般公共预算财政拨款支出预算为0万元，支出决算为0.61万元，因年初预算为0，无法计算预算完成率，2021年度“三公”经费支出决算数大于预算数的主要原因是上年公务接待费为零，故本年年初未安排预算，而本年实际有发生公务招待费。</w:t>
      </w:r>
    </w:p>
    <w:p w:rsidR="00206E51" w:rsidRDefault="00F75F6D">
      <w:pPr>
        <w:spacing w:line="600" w:lineRule="atLeast"/>
        <w:ind w:firstLine="640"/>
        <w:jc w:val="both"/>
      </w:pPr>
      <w:r>
        <w:rPr>
          <w:rStyle w:val="a6"/>
          <w:rFonts w:ascii="仿宋" w:eastAsia="仿宋" w:hAnsi="仿宋" w:cs="Arial" w:hint="eastAsia"/>
          <w:sz w:val="32"/>
          <w:szCs w:val="32"/>
        </w:rPr>
        <w:lastRenderedPageBreak/>
        <w:t>2.“三公”经费一般公共预算财政拨款支出决算具体情况说明。</w:t>
      </w:r>
    </w:p>
    <w:p w:rsidR="00206E51" w:rsidRDefault="00F75F6D">
      <w:pPr>
        <w:spacing w:line="600" w:lineRule="atLeast"/>
        <w:ind w:firstLine="640"/>
        <w:jc w:val="both"/>
      </w:pPr>
      <w:r>
        <w:rPr>
          <w:rFonts w:ascii="仿宋" w:eastAsia="仿宋" w:hAnsi="仿宋" w:cs="Arial" w:hint="eastAsia"/>
          <w:sz w:val="32"/>
          <w:szCs w:val="32"/>
        </w:rPr>
        <w:t>2021年度“三公”经费一般公共预算财政拨款支出决算中，因公出国（境）费用支出决算为0万元，占0%，与2020年度相比，增加0万元，增长0%，主要原因是本年无发生相关费用；公务用车购置及运行维护费支出决算为0万元，占0%，与2020年度相比，增加0万元，增长降0%，主要原因是本年无发生相关费用；公务接待费支出决算为0.61万元，占100.00%，与2020年度相比，增加0.61万元，增长0%，主要原因是上年公务接待费为零，而本年实际有发生公务招待费。具体情况如下：</w:t>
      </w:r>
    </w:p>
    <w:p w:rsidR="00206E51" w:rsidRDefault="00F75F6D">
      <w:pPr>
        <w:spacing w:line="600" w:lineRule="atLeast"/>
        <w:ind w:firstLine="640"/>
        <w:jc w:val="both"/>
      </w:pPr>
      <w:r>
        <w:rPr>
          <w:rFonts w:ascii="仿宋" w:eastAsia="仿宋" w:hAnsi="仿宋" w:cs="Arial" w:hint="eastAsia"/>
          <w:sz w:val="32"/>
          <w:szCs w:val="32"/>
        </w:rPr>
        <w:t>（1）因公出国（境）费预算数为0万元，支出决算为0万元。因年初预算为0，无法计算预算完成率。主要用于机关及下属预算单位人员的出差等公务出国（境）的住宿费、国际旅费、培训费、公杂费等支出。决算数等于预算数的主要原因是无发生因公出国（境）活动。全年使用一般公共预算财政拨款支出涉及因公出国(境)团组0个；累计0人次。开支内容包括：无。</w:t>
      </w:r>
    </w:p>
    <w:p w:rsidR="00206E51" w:rsidRDefault="00F75F6D">
      <w:pPr>
        <w:spacing w:line="600" w:lineRule="atLeast"/>
        <w:ind w:firstLine="640"/>
        <w:jc w:val="both"/>
      </w:pPr>
      <w:r>
        <w:rPr>
          <w:rFonts w:ascii="仿宋" w:eastAsia="仿宋" w:hAnsi="仿宋" w:cs="Arial" w:hint="eastAsia"/>
          <w:sz w:val="32"/>
          <w:szCs w:val="32"/>
        </w:rPr>
        <w:t>（2）公务用车购置及运行维护费预算数为0万元，支出决算为0万元，因年初预算为0，无法计算预算完成率。决算数等于预算数的主要原因是单位无公车。</w:t>
      </w:r>
    </w:p>
    <w:p w:rsidR="00206E51" w:rsidRDefault="00F75F6D">
      <w:pPr>
        <w:spacing w:line="600" w:lineRule="atLeast"/>
        <w:ind w:firstLine="640"/>
        <w:jc w:val="both"/>
      </w:pPr>
      <w:r>
        <w:rPr>
          <w:rFonts w:ascii="仿宋" w:eastAsia="仿宋" w:hAnsi="仿宋" w:cs="Arial" w:hint="eastAsia"/>
          <w:sz w:val="32"/>
          <w:szCs w:val="32"/>
        </w:rPr>
        <w:lastRenderedPageBreak/>
        <w:t>公务用车购置预算数为0万元，支出决算为0万元（含购置税等附加费用），因年初预算为0，无法计算预算完成率。决算数等于预算数的主要原因是单位无公车。主要用于经批准购置的0辆公务用车；</w:t>
      </w:r>
    </w:p>
    <w:p w:rsidR="00206E51" w:rsidRDefault="00F75F6D">
      <w:pPr>
        <w:spacing w:line="600" w:lineRule="atLeast"/>
        <w:ind w:firstLine="640"/>
        <w:jc w:val="both"/>
      </w:pPr>
      <w:r>
        <w:rPr>
          <w:rFonts w:ascii="仿宋" w:eastAsia="仿宋" w:hAnsi="仿宋" w:cs="Arial" w:hint="eastAsia"/>
          <w:sz w:val="32"/>
          <w:szCs w:val="32"/>
        </w:rPr>
        <w:t>公务用车运行维护费预算数为0万元，支出0万元，因年初预算为0，无法计算预算完成率。决算数等于预算数的主要原因是单位无公车。主要用于出差等所需的公务用车燃料费、维修费、过路过桥费、保险费等支出；2021年度，本级及所属单位开支一般公共预算财政拨款的公务用车保有量为0辆。</w:t>
      </w:r>
    </w:p>
    <w:p w:rsidR="00206E51" w:rsidRDefault="00F75F6D">
      <w:pPr>
        <w:spacing w:line="600" w:lineRule="atLeast"/>
        <w:ind w:firstLine="640"/>
        <w:jc w:val="both"/>
      </w:pPr>
      <w:r>
        <w:rPr>
          <w:rFonts w:ascii="仿宋" w:eastAsia="仿宋" w:hAnsi="仿宋" w:cs="Arial" w:hint="eastAsia"/>
          <w:sz w:val="32"/>
          <w:szCs w:val="32"/>
        </w:rPr>
        <w:t>（3）公务接待费预算数为0万元，支出决算为0.61万元，因年初预算为0，无法计算预算完成率。国内公务接待8批次，累计51人次。主要用于接待外来单位考察学习等支出。决算数大于预算数的主要原因是上年公务接待费为零，故本年年初未安排预算，而本年实际有发生公务招待费。其中：</w:t>
      </w:r>
    </w:p>
    <w:p w:rsidR="00206E51" w:rsidRDefault="00F75F6D">
      <w:pPr>
        <w:spacing w:line="600" w:lineRule="atLeast"/>
        <w:ind w:firstLine="640"/>
        <w:jc w:val="both"/>
      </w:pPr>
      <w:r>
        <w:rPr>
          <w:rFonts w:ascii="仿宋" w:eastAsia="仿宋" w:hAnsi="仿宋" w:cs="Arial" w:hint="eastAsia"/>
          <w:sz w:val="32"/>
          <w:szCs w:val="32"/>
        </w:rPr>
        <w:t>外事接待支出0万元，主要用于工作接待0批次，累计0人次。</w:t>
      </w:r>
    </w:p>
    <w:p w:rsidR="00206E51" w:rsidRDefault="00F75F6D">
      <w:pPr>
        <w:spacing w:line="600" w:lineRule="atLeast"/>
        <w:ind w:firstLine="640"/>
        <w:jc w:val="both"/>
      </w:pPr>
      <w:r>
        <w:rPr>
          <w:rFonts w:ascii="仿宋" w:eastAsia="仿宋" w:hAnsi="仿宋" w:cs="Arial" w:hint="eastAsia"/>
          <w:sz w:val="32"/>
          <w:szCs w:val="32"/>
        </w:rPr>
        <w:t>其他国内公务接待支出0.61万元，主要用于外来单位考察学习接待8批次，累计51人次。</w:t>
      </w:r>
    </w:p>
    <w:p w:rsidR="00206E51" w:rsidRDefault="00F75F6D">
      <w:pPr>
        <w:spacing w:line="600" w:lineRule="atLeast"/>
        <w:ind w:firstLine="640"/>
        <w:jc w:val="both"/>
      </w:pPr>
      <w:r>
        <w:rPr>
          <w:rStyle w:val="a6"/>
          <w:rFonts w:ascii="楷体" w:eastAsia="楷体" w:hAnsi="楷体" w:cs="Arial" w:hint="eastAsia"/>
          <w:sz w:val="32"/>
          <w:szCs w:val="32"/>
        </w:rPr>
        <w:t>（十）机关运行经费支出说明</w:t>
      </w:r>
    </w:p>
    <w:p w:rsidR="00206E51" w:rsidRDefault="00F75F6D">
      <w:pPr>
        <w:spacing w:line="600" w:lineRule="atLeast"/>
        <w:ind w:firstLine="640"/>
        <w:jc w:val="both"/>
      </w:pPr>
      <w:r>
        <w:rPr>
          <w:rFonts w:ascii="仿宋" w:eastAsia="仿宋" w:hAnsi="仿宋" w:cs="Arial" w:hint="eastAsia"/>
          <w:sz w:val="32"/>
          <w:szCs w:val="32"/>
        </w:rPr>
        <w:lastRenderedPageBreak/>
        <w:t>2021年度机关运行经费年初预算数为290.08万元，支</w:t>
      </w:r>
      <w:r w:rsidRPr="002337D1">
        <w:rPr>
          <w:rFonts w:ascii="仿宋" w:eastAsia="仿宋" w:hAnsi="仿宋" w:cs="Arial" w:hint="eastAsia"/>
          <w:sz w:val="32"/>
          <w:szCs w:val="32"/>
        </w:rPr>
        <w:t>出决算为288.95万</w:t>
      </w:r>
      <w:r>
        <w:rPr>
          <w:rFonts w:ascii="仿宋" w:eastAsia="仿宋" w:hAnsi="仿宋" w:cs="Arial" w:hint="eastAsia"/>
          <w:sz w:val="32"/>
          <w:szCs w:val="32"/>
        </w:rPr>
        <w:t>元，完成年初预算的99.61%，决算数小于预算数的主要原因是人员减少导致部分经费未完全支出；比2020年度增加28.78万元，增长11.06%，主要原因是</w:t>
      </w:r>
      <w:r w:rsidR="00DE63D4">
        <w:rPr>
          <w:rFonts w:ascii="仿宋" w:eastAsia="仿宋" w:hAnsi="仿宋" w:cs="Arial" w:hint="eastAsia"/>
          <w:sz w:val="32"/>
          <w:szCs w:val="32"/>
        </w:rPr>
        <w:t>人员增加</w:t>
      </w:r>
      <w:r>
        <w:rPr>
          <w:rFonts w:ascii="仿宋" w:eastAsia="仿宋" w:hAnsi="仿宋" w:cs="Arial" w:hint="eastAsia"/>
          <w:sz w:val="32"/>
          <w:szCs w:val="32"/>
        </w:rPr>
        <w:t>。</w:t>
      </w:r>
    </w:p>
    <w:p w:rsidR="00206E51" w:rsidRDefault="00F75F6D">
      <w:pPr>
        <w:spacing w:line="600" w:lineRule="atLeast"/>
        <w:ind w:firstLine="640"/>
        <w:jc w:val="both"/>
      </w:pPr>
      <w:r>
        <w:rPr>
          <w:rStyle w:val="a6"/>
          <w:rFonts w:ascii="楷体" w:eastAsia="楷体" w:hAnsi="楷体" w:cs="Arial" w:hint="eastAsia"/>
          <w:sz w:val="32"/>
          <w:szCs w:val="32"/>
        </w:rPr>
        <w:t>（十一）政府采购支出说明</w:t>
      </w:r>
    </w:p>
    <w:p w:rsidR="00206E51" w:rsidRDefault="00F75F6D">
      <w:pPr>
        <w:spacing w:line="600" w:lineRule="atLeast"/>
        <w:ind w:firstLine="640"/>
        <w:jc w:val="both"/>
      </w:pPr>
      <w:r>
        <w:rPr>
          <w:rFonts w:ascii="仿宋" w:eastAsia="仿宋" w:hAnsi="仿宋" w:cs="Arial" w:hint="eastAsia"/>
          <w:sz w:val="32"/>
          <w:szCs w:val="32"/>
        </w:rPr>
        <w:t>2021年度政府采购支出总额556.39万元，其中：政府采购货物支出56.92万元、政府采购工程支出0万元、政府采购服务支出499.47万元。授予中小企业合同金额556.39万元，占政府采购支出总额的100.00%。其中，授予小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0万元，占授予中小企业合同金额的0%；货物采购授予中小企业合同金额占货物支出金额的100%，工程采购授予中小企业合同金额占工程支出金额的0%，服务采购授予中小企业合同金额占服务支出金额的100%。</w:t>
      </w:r>
    </w:p>
    <w:p w:rsidR="00206E51" w:rsidRDefault="00F75F6D">
      <w:pPr>
        <w:spacing w:line="600" w:lineRule="atLeast"/>
        <w:ind w:firstLine="640"/>
        <w:jc w:val="both"/>
      </w:pPr>
      <w:r>
        <w:rPr>
          <w:rStyle w:val="a6"/>
          <w:rFonts w:ascii="楷体" w:eastAsia="楷体" w:hAnsi="楷体" w:cs="Arial" w:hint="eastAsia"/>
          <w:sz w:val="32"/>
          <w:szCs w:val="32"/>
        </w:rPr>
        <w:t>（十二）国有资产占有情况说明</w:t>
      </w:r>
    </w:p>
    <w:p w:rsidR="00206E51" w:rsidRDefault="00F75F6D">
      <w:pPr>
        <w:spacing w:line="600" w:lineRule="atLeast"/>
        <w:ind w:firstLine="640"/>
        <w:jc w:val="both"/>
      </w:pPr>
      <w:r>
        <w:rPr>
          <w:rFonts w:ascii="仿宋" w:eastAsia="仿宋" w:hAnsi="仿宋" w:cs="Arial" w:hint="eastAsia"/>
          <w:sz w:val="32"/>
          <w:szCs w:val="32"/>
        </w:rPr>
        <w:t>截至2021年12月31日，苍南县财政局本级及所属各单位共有车辆0辆，其中，副部（省）级及以上领导用车0辆、主要领导干部用车0辆、机要通信用车0辆、应急保障用车0辆、执法执勤用车0辆、特种专业技术用车0辆、离退休干部用车0辆、其他用车0辆,其他用车主要是公务</w:t>
      </w:r>
      <w:r>
        <w:rPr>
          <w:rFonts w:ascii="仿宋" w:eastAsia="仿宋" w:hAnsi="仿宋" w:cs="Arial" w:hint="eastAsia"/>
          <w:sz w:val="32"/>
          <w:szCs w:val="32"/>
        </w:rPr>
        <w:lastRenderedPageBreak/>
        <w:t xml:space="preserve">用车；单价50万元以上通用设备0台（套），单价100万元以上专用设备0台（套）。 </w:t>
      </w:r>
    </w:p>
    <w:p w:rsidR="00206E51" w:rsidRDefault="00F75F6D">
      <w:pPr>
        <w:spacing w:line="600" w:lineRule="atLeast"/>
        <w:ind w:firstLine="640"/>
        <w:jc w:val="both"/>
        <w:rPr>
          <w:color w:val="FF0000"/>
        </w:rPr>
      </w:pPr>
      <w:r w:rsidRPr="00DE63D4">
        <w:rPr>
          <w:rStyle w:val="a6"/>
          <w:rFonts w:ascii="楷体" w:eastAsia="楷体" w:hAnsi="楷体" w:cs="Arial" w:hint="eastAsia"/>
          <w:sz w:val="32"/>
          <w:szCs w:val="32"/>
        </w:rPr>
        <w:t>（十三）预算绩效情况说明</w:t>
      </w:r>
    </w:p>
    <w:p w:rsidR="00206E51" w:rsidRDefault="00F75F6D">
      <w:pPr>
        <w:spacing w:line="600" w:lineRule="atLeast"/>
        <w:ind w:firstLine="640"/>
        <w:jc w:val="both"/>
      </w:pPr>
      <w:r>
        <w:rPr>
          <w:rStyle w:val="a6"/>
          <w:rFonts w:ascii="仿宋" w:eastAsia="仿宋" w:hAnsi="仿宋" w:cs="Arial" w:hint="eastAsia"/>
          <w:sz w:val="32"/>
          <w:szCs w:val="32"/>
        </w:rPr>
        <w:t xml:space="preserve">1.预算绩效管理工作开展情况。 </w:t>
      </w:r>
    </w:p>
    <w:p w:rsidR="00206E51" w:rsidRDefault="00F75F6D">
      <w:pPr>
        <w:spacing w:line="600" w:lineRule="atLeast"/>
        <w:ind w:firstLine="640"/>
        <w:jc w:val="both"/>
      </w:pPr>
      <w:r>
        <w:rPr>
          <w:rFonts w:ascii="仿宋" w:eastAsia="仿宋" w:hAnsi="仿宋" w:cs="Arial" w:hint="eastAsia"/>
          <w:sz w:val="32"/>
          <w:szCs w:val="32"/>
        </w:rPr>
        <w:t>根据预算绩效管理要求，苍南县财政局组织对2021年度一般公共预算项目支出全面开展绩效自评，其中，</w:t>
      </w:r>
      <w:proofErr w:type="gramStart"/>
      <w:r>
        <w:rPr>
          <w:rFonts w:ascii="仿宋" w:eastAsia="仿宋" w:hAnsi="仿宋" w:cs="Arial" w:hint="eastAsia"/>
          <w:sz w:val="32"/>
          <w:szCs w:val="32"/>
        </w:rPr>
        <w:t>一级项目</w:t>
      </w:r>
      <w:proofErr w:type="gramEnd"/>
      <w:r w:rsidR="00C25C2C">
        <w:rPr>
          <w:rFonts w:ascii="仿宋" w:eastAsia="仿宋" w:hAnsi="仿宋" w:cs="Arial" w:hint="eastAsia"/>
          <w:sz w:val="32"/>
          <w:szCs w:val="32"/>
        </w:rPr>
        <w:t>9</w:t>
      </w:r>
      <w:r>
        <w:rPr>
          <w:rFonts w:ascii="仿宋" w:eastAsia="仿宋" w:hAnsi="仿宋" w:cs="Arial" w:hint="eastAsia"/>
          <w:sz w:val="32"/>
          <w:szCs w:val="32"/>
        </w:rPr>
        <w:t>个，二级项目</w:t>
      </w:r>
      <w:r w:rsidR="00C25C2C">
        <w:rPr>
          <w:rFonts w:ascii="仿宋" w:eastAsia="仿宋" w:hAnsi="仿宋" w:cs="Arial" w:hint="eastAsia"/>
          <w:sz w:val="32"/>
          <w:szCs w:val="32"/>
        </w:rPr>
        <w:t>0</w:t>
      </w:r>
      <w:r>
        <w:rPr>
          <w:rFonts w:ascii="仿宋" w:eastAsia="仿宋" w:hAnsi="仿宋" w:cs="Arial" w:hint="eastAsia"/>
          <w:sz w:val="32"/>
          <w:szCs w:val="32"/>
        </w:rPr>
        <w:t>个，共涉及资金</w:t>
      </w:r>
      <w:r w:rsidR="00C86676">
        <w:rPr>
          <w:rFonts w:ascii="仿宋" w:eastAsia="仿宋" w:hAnsi="仿宋" w:cs="Arial" w:hint="eastAsia"/>
          <w:sz w:val="32"/>
          <w:szCs w:val="32"/>
        </w:rPr>
        <w:t>698.22</w:t>
      </w:r>
      <w:r>
        <w:rPr>
          <w:rFonts w:ascii="仿宋" w:eastAsia="仿宋" w:hAnsi="仿宋" w:cs="Arial" w:hint="eastAsia"/>
          <w:sz w:val="32"/>
          <w:szCs w:val="32"/>
        </w:rPr>
        <w:t>万元，占一般公共预算项目支出总额的</w:t>
      </w:r>
      <w:r w:rsidR="00C86676">
        <w:rPr>
          <w:rFonts w:ascii="仿宋" w:eastAsia="仿宋" w:hAnsi="仿宋" w:cs="Arial" w:hint="eastAsia"/>
          <w:sz w:val="32"/>
          <w:szCs w:val="32"/>
        </w:rPr>
        <w:t>95.76</w:t>
      </w:r>
      <w:r>
        <w:rPr>
          <w:rFonts w:ascii="仿宋" w:eastAsia="仿宋" w:hAnsi="仿宋" w:cs="Arial" w:hint="eastAsia"/>
          <w:sz w:val="32"/>
          <w:szCs w:val="32"/>
        </w:rPr>
        <w:t>%。组织对2021年度信息化建设及维护等1个政府性基金预算项目支出开展绩效自评，共涉及资金</w:t>
      </w:r>
      <w:r w:rsidR="00C86676">
        <w:rPr>
          <w:rFonts w:ascii="仿宋" w:eastAsia="仿宋" w:hAnsi="仿宋" w:cs="Arial" w:hint="eastAsia"/>
          <w:sz w:val="32"/>
          <w:szCs w:val="32"/>
        </w:rPr>
        <w:t>277.40</w:t>
      </w:r>
      <w:r>
        <w:rPr>
          <w:rFonts w:ascii="仿宋" w:eastAsia="仿宋" w:hAnsi="仿宋" w:cs="Arial" w:hint="eastAsia"/>
          <w:sz w:val="32"/>
          <w:szCs w:val="32"/>
        </w:rPr>
        <w:t>万元，占政府性基金预算项目支出总额的</w:t>
      </w:r>
      <w:r w:rsidR="00C86676">
        <w:rPr>
          <w:rFonts w:ascii="仿宋" w:eastAsia="仿宋" w:hAnsi="仿宋" w:cs="Arial" w:hint="eastAsia"/>
          <w:sz w:val="32"/>
          <w:szCs w:val="32"/>
        </w:rPr>
        <w:t>88.45</w:t>
      </w:r>
      <w:r>
        <w:rPr>
          <w:rFonts w:ascii="仿宋" w:eastAsia="仿宋" w:hAnsi="仿宋" w:cs="Arial" w:hint="eastAsia"/>
          <w:sz w:val="32"/>
          <w:szCs w:val="32"/>
        </w:rPr>
        <w:t xml:space="preserve">%。本年无国有资本经营预算项目。 </w:t>
      </w:r>
    </w:p>
    <w:p w:rsidR="00206E51" w:rsidRDefault="00F75F6D">
      <w:pPr>
        <w:spacing w:line="600" w:lineRule="atLeast"/>
        <w:ind w:firstLine="640"/>
        <w:jc w:val="both"/>
      </w:pPr>
      <w:r>
        <w:rPr>
          <w:rFonts w:ascii="仿宋" w:eastAsia="仿宋" w:hAnsi="仿宋" w:cs="Arial" w:hint="eastAsia"/>
          <w:sz w:val="32"/>
          <w:szCs w:val="32"/>
        </w:rPr>
        <w:t>本年无部门评价。</w:t>
      </w:r>
    </w:p>
    <w:p w:rsidR="00206E51" w:rsidRDefault="00F75F6D">
      <w:pPr>
        <w:spacing w:line="600" w:lineRule="atLeast"/>
        <w:ind w:firstLine="640"/>
        <w:jc w:val="both"/>
      </w:pPr>
      <w:r>
        <w:rPr>
          <w:rFonts w:ascii="仿宋" w:eastAsia="仿宋" w:hAnsi="仿宋" w:cs="Arial" w:hint="eastAsia"/>
          <w:sz w:val="32"/>
          <w:szCs w:val="32"/>
        </w:rPr>
        <w:t>本年无部门整体支出绩效评价。</w:t>
      </w:r>
    </w:p>
    <w:p w:rsidR="00206E51" w:rsidRDefault="00F75F6D">
      <w:pPr>
        <w:spacing w:line="600" w:lineRule="atLeast"/>
        <w:ind w:firstLine="640"/>
        <w:jc w:val="both"/>
      </w:pPr>
      <w:r>
        <w:rPr>
          <w:rFonts w:ascii="仿宋" w:eastAsia="仿宋" w:hAnsi="仿宋" w:cs="Arial" w:hint="eastAsia"/>
          <w:sz w:val="32"/>
          <w:szCs w:val="32"/>
        </w:rPr>
        <w:t>本年无下属</w:t>
      </w:r>
      <w:r w:rsidR="00622CAF">
        <w:rPr>
          <w:rFonts w:ascii="仿宋" w:eastAsia="仿宋" w:hAnsi="仿宋" w:cs="Arial" w:hint="eastAsia"/>
          <w:sz w:val="32"/>
          <w:szCs w:val="32"/>
        </w:rPr>
        <w:t>单位</w:t>
      </w:r>
      <w:r>
        <w:rPr>
          <w:rFonts w:ascii="仿宋" w:eastAsia="仿宋" w:hAnsi="仿宋" w:cs="Arial" w:hint="eastAsia"/>
          <w:sz w:val="32"/>
          <w:szCs w:val="32"/>
        </w:rPr>
        <w:t>整体支出绩效评价。</w:t>
      </w:r>
    </w:p>
    <w:p w:rsidR="00206E51" w:rsidRDefault="00F75F6D">
      <w:pPr>
        <w:spacing w:line="600" w:lineRule="atLeast"/>
        <w:ind w:firstLine="640"/>
        <w:jc w:val="both"/>
      </w:pPr>
      <w:r>
        <w:rPr>
          <w:rStyle w:val="a6"/>
          <w:rFonts w:ascii="仿宋" w:eastAsia="仿宋" w:hAnsi="仿宋" w:cs="Arial" w:hint="eastAsia"/>
          <w:sz w:val="32"/>
          <w:szCs w:val="32"/>
        </w:rPr>
        <w:t>2.部门决算</w:t>
      </w:r>
      <w:proofErr w:type="gramStart"/>
      <w:r>
        <w:rPr>
          <w:rStyle w:val="a6"/>
          <w:rFonts w:ascii="仿宋" w:eastAsia="仿宋" w:hAnsi="仿宋" w:cs="Arial" w:hint="eastAsia"/>
          <w:sz w:val="32"/>
          <w:szCs w:val="32"/>
        </w:rPr>
        <w:t>中项目</w:t>
      </w:r>
      <w:proofErr w:type="gramEnd"/>
      <w:r>
        <w:rPr>
          <w:rStyle w:val="a6"/>
          <w:rFonts w:ascii="仿宋" w:eastAsia="仿宋" w:hAnsi="仿宋" w:cs="Arial" w:hint="eastAsia"/>
          <w:sz w:val="32"/>
          <w:szCs w:val="32"/>
        </w:rPr>
        <w:t>绩效自评结果。</w:t>
      </w:r>
    </w:p>
    <w:p w:rsidR="00206E51" w:rsidRDefault="00F75F6D" w:rsidP="00AE10CB">
      <w:pPr>
        <w:ind w:firstLineChars="200" w:firstLine="640"/>
        <w:jc w:val="both"/>
        <w:rPr>
          <w:rFonts w:ascii="仿宋" w:eastAsia="仿宋" w:hAnsi="仿宋" w:cs="Arial"/>
          <w:sz w:val="32"/>
          <w:szCs w:val="32"/>
        </w:rPr>
      </w:pPr>
      <w:r>
        <w:rPr>
          <w:rFonts w:ascii="仿宋" w:eastAsia="仿宋" w:hAnsi="仿宋" w:cs="Arial" w:hint="eastAsia"/>
          <w:sz w:val="32"/>
          <w:szCs w:val="32"/>
        </w:rPr>
        <w:t>苍南县财政局在2021年度部门决算中反映</w:t>
      </w:r>
      <w:r w:rsidR="00AE10CB" w:rsidRPr="00AE10CB">
        <w:rPr>
          <w:rFonts w:ascii="仿宋" w:eastAsia="仿宋" w:hAnsi="仿宋" w:cs="Arial" w:hint="eastAsia"/>
          <w:sz w:val="32"/>
          <w:szCs w:val="32"/>
        </w:rPr>
        <w:t>全县财政监督绩效项目评价委托费</w:t>
      </w:r>
      <w:r>
        <w:rPr>
          <w:rFonts w:ascii="仿宋" w:eastAsia="仿宋" w:hAnsi="仿宋" w:cs="Arial" w:hint="eastAsia"/>
          <w:sz w:val="32"/>
          <w:szCs w:val="32"/>
        </w:rPr>
        <w:t>及</w:t>
      </w:r>
      <w:r w:rsidR="00AE10CB" w:rsidRPr="00AE10CB">
        <w:rPr>
          <w:rFonts w:ascii="仿宋" w:eastAsia="仿宋" w:hAnsi="仿宋" w:cs="Arial" w:hint="eastAsia"/>
          <w:sz w:val="32"/>
          <w:szCs w:val="32"/>
        </w:rPr>
        <w:t>全县政府投资项目预结算评审专项业务费</w:t>
      </w:r>
      <w:r>
        <w:rPr>
          <w:rFonts w:ascii="仿宋" w:eastAsia="仿宋" w:hAnsi="仿宋" w:cs="Arial" w:hint="eastAsia"/>
          <w:sz w:val="32"/>
          <w:szCs w:val="32"/>
        </w:rPr>
        <w:t>项目绩效自评结果。</w:t>
      </w:r>
    </w:p>
    <w:p w:rsidR="00206E51" w:rsidRDefault="00AE10CB">
      <w:pPr>
        <w:spacing w:line="600" w:lineRule="atLeast"/>
        <w:ind w:firstLine="640"/>
        <w:jc w:val="both"/>
        <w:rPr>
          <w:rFonts w:ascii="仿宋" w:eastAsia="仿宋" w:hAnsi="仿宋" w:cs="Arial"/>
          <w:sz w:val="32"/>
          <w:szCs w:val="32"/>
        </w:rPr>
      </w:pPr>
      <w:r w:rsidRPr="00AE10CB">
        <w:rPr>
          <w:rFonts w:ascii="仿宋" w:eastAsia="仿宋" w:hAnsi="仿宋" w:cs="Arial" w:hint="eastAsia"/>
          <w:sz w:val="32"/>
          <w:szCs w:val="32"/>
        </w:rPr>
        <w:t>全县财政监督绩效项目评价委托费</w:t>
      </w:r>
      <w:r w:rsidR="00F75F6D">
        <w:rPr>
          <w:rFonts w:ascii="仿宋" w:eastAsia="仿宋" w:hAnsi="仿宋" w:cs="Arial" w:hint="eastAsia"/>
          <w:sz w:val="32"/>
          <w:szCs w:val="32"/>
        </w:rPr>
        <w:t>项目绩效自评综述：根据年初设定的绩效目标，项目自评得分</w:t>
      </w:r>
      <w:r>
        <w:rPr>
          <w:rFonts w:ascii="仿宋" w:eastAsia="仿宋" w:hAnsi="仿宋" w:cs="Arial" w:hint="eastAsia"/>
          <w:sz w:val="32"/>
          <w:szCs w:val="32"/>
        </w:rPr>
        <w:t>98</w:t>
      </w:r>
      <w:r w:rsidR="00F75F6D">
        <w:rPr>
          <w:rFonts w:ascii="仿宋" w:eastAsia="仿宋" w:hAnsi="仿宋" w:cs="Arial" w:hint="eastAsia"/>
          <w:sz w:val="32"/>
          <w:szCs w:val="32"/>
        </w:rPr>
        <w:t>分，自评结论为“</w:t>
      </w:r>
      <w:r>
        <w:rPr>
          <w:rFonts w:ascii="仿宋" w:eastAsia="仿宋" w:hAnsi="仿宋" w:cs="Arial" w:hint="eastAsia"/>
          <w:sz w:val="32"/>
          <w:szCs w:val="32"/>
        </w:rPr>
        <w:t>优秀</w:t>
      </w:r>
      <w:r w:rsidR="00F75F6D">
        <w:rPr>
          <w:rFonts w:ascii="仿宋" w:eastAsia="仿宋" w:hAnsi="仿宋" w:cs="Arial" w:hint="eastAsia"/>
          <w:sz w:val="32"/>
          <w:szCs w:val="32"/>
        </w:rPr>
        <w:t>”。项目全年预算数为</w:t>
      </w:r>
      <w:r>
        <w:rPr>
          <w:rFonts w:ascii="仿宋" w:eastAsia="仿宋" w:hAnsi="仿宋" w:cs="Arial" w:hint="eastAsia"/>
          <w:sz w:val="32"/>
          <w:szCs w:val="32"/>
        </w:rPr>
        <w:t>188.4</w:t>
      </w:r>
      <w:r w:rsidR="00F75F6D">
        <w:rPr>
          <w:rFonts w:ascii="仿宋" w:eastAsia="仿宋" w:hAnsi="仿宋" w:cs="Arial" w:hint="eastAsia"/>
          <w:sz w:val="32"/>
          <w:szCs w:val="32"/>
        </w:rPr>
        <w:t>万元，执行数为</w:t>
      </w:r>
      <w:r>
        <w:rPr>
          <w:rFonts w:ascii="仿宋" w:eastAsia="仿宋" w:hAnsi="仿宋" w:cs="Arial" w:hint="eastAsia"/>
          <w:sz w:val="32"/>
          <w:szCs w:val="32"/>
        </w:rPr>
        <w:lastRenderedPageBreak/>
        <w:t>178.36</w:t>
      </w:r>
      <w:r w:rsidR="00F75F6D">
        <w:rPr>
          <w:rFonts w:ascii="仿宋" w:eastAsia="仿宋" w:hAnsi="仿宋" w:cs="Arial" w:hint="eastAsia"/>
          <w:sz w:val="32"/>
          <w:szCs w:val="32"/>
        </w:rPr>
        <w:t>万元，完成预算的</w:t>
      </w:r>
      <w:r>
        <w:rPr>
          <w:rFonts w:ascii="仿宋" w:eastAsia="仿宋" w:hAnsi="仿宋" w:cs="Arial" w:hint="eastAsia"/>
          <w:sz w:val="32"/>
          <w:szCs w:val="32"/>
        </w:rPr>
        <w:t>94.67</w:t>
      </w:r>
      <w:r w:rsidR="00F75F6D">
        <w:rPr>
          <w:rFonts w:ascii="仿宋" w:eastAsia="仿宋" w:hAnsi="仿宋" w:cs="Arial" w:hint="eastAsia"/>
          <w:sz w:val="32"/>
          <w:szCs w:val="32"/>
        </w:rPr>
        <w:t>%。项目绩效目标完成情况：</w:t>
      </w:r>
      <w:r w:rsidR="00E57F5B" w:rsidRPr="002643AF">
        <w:rPr>
          <w:rFonts w:ascii="仿宋" w:eastAsia="仿宋" w:hAnsi="仿宋" w:cs="Arial" w:hint="eastAsia"/>
          <w:sz w:val="32"/>
          <w:szCs w:val="32"/>
        </w:rPr>
        <w:t>一是项目目标明确，预算严谨；二是项目相关管理制度健全，管理机构健全，项目执行程序到位。三是项目支出合理合</w:t>
      </w:r>
      <w:proofErr w:type="gramStart"/>
      <w:r w:rsidR="00E57F5B" w:rsidRPr="002643AF">
        <w:rPr>
          <w:rFonts w:ascii="仿宋" w:eastAsia="仿宋" w:hAnsi="仿宋" w:cs="Arial" w:hint="eastAsia"/>
          <w:sz w:val="32"/>
          <w:szCs w:val="32"/>
        </w:rPr>
        <w:t>规</w:t>
      </w:r>
      <w:proofErr w:type="gramEnd"/>
      <w:r w:rsidR="00E57F5B" w:rsidRPr="002643AF">
        <w:rPr>
          <w:rFonts w:ascii="仿宋" w:eastAsia="仿宋" w:hAnsi="仿宋" w:cs="Arial" w:hint="eastAsia"/>
          <w:sz w:val="32"/>
          <w:szCs w:val="32"/>
        </w:rPr>
        <w:t>，未发现重大不合</w:t>
      </w:r>
      <w:proofErr w:type="gramStart"/>
      <w:r w:rsidR="00E57F5B" w:rsidRPr="002643AF">
        <w:rPr>
          <w:rFonts w:ascii="仿宋" w:eastAsia="仿宋" w:hAnsi="仿宋" w:cs="Arial" w:hint="eastAsia"/>
          <w:sz w:val="32"/>
          <w:szCs w:val="32"/>
        </w:rPr>
        <w:t>规</w:t>
      </w:r>
      <w:proofErr w:type="gramEnd"/>
      <w:r w:rsidR="00E57F5B" w:rsidRPr="002643AF">
        <w:rPr>
          <w:rFonts w:ascii="仿宋" w:eastAsia="仿宋" w:hAnsi="仿宋" w:cs="Arial" w:hint="eastAsia"/>
          <w:sz w:val="32"/>
          <w:szCs w:val="32"/>
        </w:rPr>
        <w:t>；四是根据项目单位预期申报绩效目标，项目产出与项目预期绩效产出完整性、相关性、匹配性均有关联。发现的问题及原因：</w:t>
      </w:r>
      <w:r w:rsidR="00E57F5B">
        <w:rPr>
          <w:rFonts w:ascii="仿宋" w:eastAsia="仿宋" w:hAnsi="仿宋" w:cs="Arial" w:hint="eastAsia"/>
          <w:sz w:val="32"/>
          <w:szCs w:val="32"/>
        </w:rPr>
        <w:t>无</w:t>
      </w:r>
      <w:r w:rsidR="00E57F5B" w:rsidRPr="002643AF">
        <w:rPr>
          <w:rFonts w:ascii="仿宋" w:eastAsia="仿宋" w:hAnsi="仿宋" w:cs="Arial" w:hint="eastAsia"/>
          <w:sz w:val="32"/>
          <w:szCs w:val="32"/>
        </w:rPr>
        <w:t>。下一步改进措施：</w:t>
      </w:r>
      <w:r w:rsidR="00E57F5B">
        <w:rPr>
          <w:rFonts w:ascii="仿宋" w:eastAsia="仿宋" w:hAnsi="仿宋" w:cs="Arial" w:hint="eastAsia"/>
          <w:sz w:val="32"/>
          <w:szCs w:val="32"/>
        </w:rPr>
        <w:t>无</w:t>
      </w:r>
      <w:r w:rsidR="00E57F5B" w:rsidRPr="002643AF">
        <w:rPr>
          <w:rFonts w:ascii="仿宋" w:eastAsia="仿宋" w:hAnsi="仿宋" w:cs="Arial" w:hint="eastAsia"/>
          <w:sz w:val="32"/>
          <w:szCs w:val="32"/>
        </w:rPr>
        <w:t>。</w:t>
      </w:r>
    </w:p>
    <w:tbl>
      <w:tblPr>
        <w:tblW w:w="7170" w:type="dxa"/>
        <w:tblInd w:w="93" w:type="dxa"/>
        <w:tblLook w:val="04A0" w:firstRow="1" w:lastRow="0" w:firstColumn="1" w:lastColumn="0" w:noHBand="0" w:noVBand="1"/>
      </w:tblPr>
      <w:tblGrid>
        <w:gridCol w:w="1823"/>
        <w:gridCol w:w="396"/>
        <w:gridCol w:w="1063"/>
        <w:gridCol w:w="576"/>
        <w:gridCol w:w="936"/>
        <w:gridCol w:w="396"/>
        <w:gridCol w:w="396"/>
        <w:gridCol w:w="396"/>
        <w:gridCol w:w="396"/>
        <w:gridCol w:w="396"/>
        <w:gridCol w:w="396"/>
      </w:tblGrid>
      <w:tr w:rsidR="00E3605E" w:rsidTr="00E3605E">
        <w:trPr>
          <w:trHeight w:val="285"/>
        </w:trPr>
        <w:tc>
          <w:tcPr>
            <w:tcW w:w="7170" w:type="dxa"/>
            <w:gridSpan w:val="11"/>
            <w:vMerge w:val="restart"/>
            <w:tcBorders>
              <w:top w:val="nil"/>
              <w:left w:val="nil"/>
              <w:bottom w:val="nil"/>
              <w:right w:val="nil"/>
            </w:tcBorders>
            <w:shd w:val="clear" w:color="auto" w:fill="auto"/>
            <w:vAlign w:val="center"/>
            <w:hideMark/>
          </w:tcPr>
          <w:p w:rsidR="00E3605E" w:rsidRDefault="00E3605E">
            <w:pPr>
              <w:jc w:val="center"/>
              <w:rPr>
                <w:rFonts w:cs="Arial"/>
                <w:sz w:val="18"/>
                <w:szCs w:val="18"/>
              </w:rPr>
            </w:pPr>
            <w:r>
              <w:rPr>
                <w:rFonts w:cs="Arial" w:hint="eastAsia"/>
                <w:sz w:val="18"/>
                <w:szCs w:val="18"/>
              </w:rPr>
              <w:t>财政支出项目绩效自评报告</w:t>
            </w:r>
          </w:p>
        </w:tc>
      </w:tr>
      <w:tr w:rsidR="00E3605E" w:rsidTr="00E3605E">
        <w:trPr>
          <w:trHeight w:val="285"/>
        </w:trPr>
        <w:tc>
          <w:tcPr>
            <w:tcW w:w="7170" w:type="dxa"/>
            <w:gridSpan w:val="11"/>
            <w:vMerge/>
            <w:tcBorders>
              <w:top w:val="nil"/>
              <w:left w:val="nil"/>
              <w:bottom w:val="nil"/>
              <w:right w:val="nil"/>
            </w:tcBorders>
            <w:vAlign w:val="center"/>
            <w:hideMark/>
          </w:tcPr>
          <w:p w:rsidR="00E3605E" w:rsidRDefault="00E3605E">
            <w:pPr>
              <w:rPr>
                <w:rFonts w:cs="Arial"/>
                <w:sz w:val="18"/>
                <w:szCs w:val="18"/>
              </w:rPr>
            </w:pPr>
          </w:p>
        </w:tc>
      </w:tr>
      <w:tr w:rsidR="00E3605E" w:rsidTr="00E3605E">
        <w:trPr>
          <w:trHeight w:val="285"/>
        </w:trPr>
        <w:tc>
          <w:tcPr>
            <w:tcW w:w="336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120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39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75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项目实施单位</w:t>
            </w:r>
          </w:p>
        </w:tc>
        <w:tc>
          <w:tcPr>
            <w:tcW w:w="3600"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苍南县财政局</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项目名称</w:t>
            </w:r>
          </w:p>
        </w:tc>
        <w:tc>
          <w:tcPr>
            <w:tcW w:w="3600"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全县财政监督绩效项目评价委托费</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项目负责人</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彭希鹤</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项目起止时间</w:t>
            </w:r>
          </w:p>
        </w:tc>
        <w:tc>
          <w:tcPr>
            <w:tcW w:w="2010"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2021.01-2022.12</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联系电话</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0577-64703619</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地址</w:t>
            </w:r>
          </w:p>
        </w:tc>
        <w:tc>
          <w:tcPr>
            <w:tcW w:w="2010"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苍南县灵溪镇春晖路555号</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项目实施概况</w:t>
            </w:r>
          </w:p>
        </w:tc>
        <w:tc>
          <w:tcPr>
            <w:tcW w:w="3600"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一、财政监督局（绩效管理科）组织部门单位开展财政支出绩效自评工作，组织重大民生项目实施重点绩效评价，需要委托中介机构作为第三方，设计指标、实地走访、查询资料、发放调查问卷、询问查证、计算分析等方法，对照评价指标和标准进行了评议、打分，从项目概况、项目实施结果、存在问题、提出建议等方面进行项目的评价，以了解财政资金使用情况及绩效状况。  二、1、</w:t>
            </w:r>
            <w:proofErr w:type="gramStart"/>
            <w:r>
              <w:rPr>
                <w:rFonts w:cs="Arial" w:hint="eastAsia"/>
                <w:sz w:val="18"/>
                <w:szCs w:val="18"/>
              </w:rPr>
              <w:t>债管中心</w:t>
            </w:r>
            <w:proofErr w:type="gramEnd"/>
            <w:r>
              <w:rPr>
                <w:rFonts w:cs="Arial" w:hint="eastAsia"/>
                <w:sz w:val="18"/>
                <w:szCs w:val="18"/>
              </w:rPr>
              <w:t>苍南县地方政府专项债券咨询服务费：为做好2021年</w:t>
            </w:r>
            <w:proofErr w:type="gramStart"/>
            <w:r>
              <w:rPr>
                <w:rFonts w:cs="Arial" w:hint="eastAsia"/>
                <w:sz w:val="18"/>
                <w:szCs w:val="18"/>
              </w:rPr>
              <w:t>政府政府</w:t>
            </w:r>
            <w:proofErr w:type="gramEnd"/>
            <w:r>
              <w:rPr>
                <w:rFonts w:cs="Arial" w:hint="eastAsia"/>
                <w:sz w:val="18"/>
                <w:szCs w:val="18"/>
              </w:rPr>
              <w:t>专项债券申报和发行工作，由市财政局统一聘请中介机构，为</w:t>
            </w:r>
            <w:proofErr w:type="gramStart"/>
            <w:r>
              <w:rPr>
                <w:rFonts w:cs="Arial" w:hint="eastAsia"/>
                <w:sz w:val="18"/>
                <w:szCs w:val="18"/>
              </w:rPr>
              <w:t>全市专项</w:t>
            </w:r>
            <w:proofErr w:type="gramEnd"/>
            <w:r>
              <w:rPr>
                <w:rFonts w:cs="Arial" w:hint="eastAsia"/>
                <w:sz w:val="18"/>
                <w:szCs w:val="18"/>
              </w:rPr>
              <w:t>债券项目提供编制资金平衡方案、出具</w:t>
            </w:r>
            <w:proofErr w:type="gramStart"/>
            <w:r>
              <w:rPr>
                <w:rFonts w:cs="Arial" w:hint="eastAsia"/>
                <w:sz w:val="18"/>
                <w:szCs w:val="18"/>
              </w:rPr>
              <w:t>财评报告</w:t>
            </w:r>
            <w:proofErr w:type="gramEnd"/>
            <w:r>
              <w:rPr>
                <w:rFonts w:cs="Arial" w:hint="eastAsia"/>
                <w:sz w:val="18"/>
                <w:szCs w:val="18"/>
              </w:rPr>
              <w:t xml:space="preserve">和法律意见书等服务；  2、投资科PPP专业咨询中级机构招标：以团队服务方式提供常务顾问、合同修约、信息管理、绩效考核、付费计算、法律咨询等服务，聘请服务期限为4年（3年建设期+1年运营期），服务范围为交通、教育、水利等PPP项目；  3、预算局预算执行相关报表汇审费用：政府综合报告及部门决算编报软件培训，中介机构的审核及汇审工作经费。    </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计划安排资金(万元)</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188.4</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实际到位资金(万元)</w:t>
            </w:r>
          </w:p>
        </w:tc>
        <w:tc>
          <w:tcPr>
            <w:tcW w:w="1260"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188.4</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其中:中央财政资金</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0</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其中:中央财政资金</w:t>
            </w:r>
          </w:p>
        </w:tc>
        <w:tc>
          <w:tcPr>
            <w:tcW w:w="1260"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0</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省财政资金</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0</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省财政资金</w:t>
            </w:r>
          </w:p>
        </w:tc>
        <w:tc>
          <w:tcPr>
            <w:tcW w:w="1260"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0</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市财政资金</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0</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市财政资金</w:t>
            </w:r>
          </w:p>
        </w:tc>
        <w:tc>
          <w:tcPr>
            <w:tcW w:w="1260"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0</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其他</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0</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其他</w:t>
            </w:r>
          </w:p>
        </w:tc>
        <w:tc>
          <w:tcPr>
            <w:tcW w:w="1260"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0</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实际支出(元)</w:t>
            </w:r>
          </w:p>
        </w:tc>
        <w:tc>
          <w:tcPr>
            <w:tcW w:w="3600"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1783631</w:t>
            </w:r>
          </w:p>
        </w:tc>
      </w:tr>
      <w:tr w:rsidR="00E3605E" w:rsidTr="00E3605E">
        <w:trPr>
          <w:trHeight w:val="345"/>
        </w:trPr>
        <w:tc>
          <w:tcPr>
            <w:tcW w:w="336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120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39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75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支出内容(按经济科目详列)</w:t>
            </w:r>
          </w:p>
        </w:tc>
        <w:tc>
          <w:tcPr>
            <w:tcW w:w="159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计划支出数(万元)</w:t>
            </w:r>
          </w:p>
        </w:tc>
        <w:tc>
          <w:tcPr>
            <w:tcW w:w="2010"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实际支出数(万元)</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支出合计</w:t>
            </w:r>
          </w:p>
        </w:tc>
        <w:tc>
          <w:tcPr>
            <w:tcW w:w="159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188.4</w:t>
            </w:r>
          </w:p>
        </w:tc>
        <w:tc>
          <w:tcPr>
            <w:tcW w:w="2010"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178.36</w:t>
            </w:r>
          </w:p>
        </w:tc>
      </w:tr>
      <w:tr w:rsidR="00E3605E" w:rsidTr="00E3605E">
        <w:trPr>
          <w:trHeight w:val="345"/>
        </w:trPr>
        <w:tc>
          <w:tcPr>
            <w:tcW w:w="336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120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39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75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r>
      <w:tr w:rsidR="00E3605E" w:rsidTr="00E3605E">
        <w:trPr>
          <w:trHeight w:val="345"/>
        </w:trPr>
        <w:tc>
          <w:tcPr>
            <w:tcW w:w="71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绩效指标</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一级指标</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二级指标</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三级指标</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年度指标值</w:t>
            </w:r>
          </w:p>
        </w:tc>
        <w:tc>
          <w:tcPr>
            <w:tcW w:w="75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实际完成值</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指标分值</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自评得分</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指标性质</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符号</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数量</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单位</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管理水平</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项目组织管理水平</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≥95%</w:t>
            </w:r>
          </w:p>
        </w:tc>
        <w:tc>
          <w:tcPr>
            <w:tcW w:w="75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本项目建立了项目管理制度，并严格按相关制度执行。</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合理性</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资金支出合理合</w:t>
            </w:r>
            <w:proofErr w:type="gramStart"/>
            <w:r>
              <w:rPr>
                <w:rFonts w:cs="Arial" w:hint="eastAsia"/>
                <w:sz w:val="18"/>
                <w:szCs w:val="18"/>
              </w:rPr>
              <w:t>规</w:t>
            </w:r>
            <w:proofErr w:type="gramEnd"/>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合理</w:t>
            </w:r>
          </w:p>
        </w:tc>
        <w:tc>
          <w:tcPr>
            <w:tcW w:w="75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本年项目支出明细内容包括全县财政监督绩效项目评价委托费。符合国家相关法律法规、财务管理制度等规定，且均在预算范围内，无与本项目预算不相符或无关的资金支出。</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编制水平</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项目预算及预期绩效目标编制水平</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1≥*2*%</w:t>
            </w:r>
          </w:p>
        </w:tc>
        <w:tc>
          <w:tcPr>
            <w:tcW w:w="75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本项目预算（即投入目标）编制科学、规范、合理，预期绩效目标申报完整，产出、效果类关键性指标清晰、明确、量化，投入与项目产出、效果目标匹配。</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效益</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项目效益（效果）</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1≥*2*%</w:t>
            </w:r>
          </w:p>
        </w:tc>
        <w:tc>
          <w:tcPr>
            <w:tcW w:w="75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项目绩效效果目标为“完成全县财政监督绩效项目评价委托”，实际完成全县财政监督绩效项目评价委托。</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r>
      <w:tr w:rsidR="00E3605E" w:rsidTr="00C07815">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tcPr>
          <w:p w:rsidR="00E3605E" w:rsidRDefault="00E3605E">
            <w:pPr>
              <w:jc w:val="center"/>
              <w:rPr>
                <w:rFonts w:cs="Arial"/>
                <w:sz w:val="18"/>
                <w:szCs w:val="18"/>
              </w:rPr>
            </w:pP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执行率</w:t>
            </w:r>
          </w:p>
        </w:tc>
        <w:tc>
          <w:tcPr>
            <w:tcW w:w="1200" w:type="dxa"/>
            <w:tcBorders>
              <w:top w:val="nil"/>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预算执行率</w:t>
            </w:r>
          </w:p>
        </w:tc>
        <w:tc>
          <w:tcPr>
            <w:tcW w:w="39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90%</w:t>
            </w:r>
          </w:p>
        </w:tc>
        <w:tc>
          <w:tcPr>
            <w:tcW w:w="75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该项目实际支出178.36万元，预算执行率为94.67%。</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jc w:val="right"/>
              <w:rPr>
                <w:rFonts w:cs="Arial"/>
                <w:sz w:val="18"/>
                <w:szCs w:val="18"/>
              </w:rPr>
            </w:pPr>
            <w:r>
              <w:rPr>
                <w:rFonts w:cs="Arial" w:hint="eastAsia"/>
                <w:sz w:val="18"/>
                <w:szCs w:val="18"/>
              </w:rPr>
              <w:t>20</w:t>
            </w:r>
          </w:p>
        </w:tc>
        <w:tc>
          <w:tcPr>
            <w:tcW w:w="210" w:type="dxa"/>
            <w:tcBorders>
              <w:top w:val="nil"/>
              <w:left w:val="nil"/>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18</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c>
          <w:tcPr>
            <w:tcW w:w="210" w:type="dxa"/>
            <w:tcBorders>
              <w:top w:val="nil"/>
              <w:left w:val="nil"/>
              <w:bottom w:val="single" w:sz="4" w:space="0" w:color="000000"/>
              <w:right w:val="single" w:sz="4" w:space="0" w:color="000000"/>
            </w:tcBorders>
            <w:shd w:val="clear" w:color="auto" w:fill="auto"/>
            <w:vAlign w:val="bottom"/>
            <w:hideMark/>
          </w:tcPr>
          <w:p w:rsidR="00E3605E" w:rsidRDefault="00E3605E">
            <w:pPr>
              <w:rPr>
                <w:rFonts w:cs="Arial"/>
                <w:sz w:val="18"/>
                <w:szCs w:val="18"/>
              </w:rPr>
            </w:pPr>
            <w:r>
              <w:rPr>
                <w:rFonts w:cs="Arial" w:hint="eastAsia"/>
                <w:sz w:val="18"/>
                <w:szCs w:val="18"/>
              </w:rPr>
              <w:t xml:space="preserve">　</w:t>
            </w:r>
          </w:p>
        </w:tc>
      </w:tr>
      <w:tr w:rsidR="00E3605E" w:rsidTr="00E3605E">
        <w:trPr>
          <w:trHeight w:val="345"/>
        </w:trPr>
        <w:tc>
          <w:tcPr>
            <w:tcW w:w="336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120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39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750" w:type="dxa"/>
            <w:tcBorders>
              <w:top w:val="nil"/>
              <w:left w:val="nil"/>
              <w:bottom w:val="nil"/>
              <w:right w:val="nil"/>
            </w:tcBorders>
            <w:shd w:val="clear" w:color="auto" w:fill="auto"/>
            <w:vAlign w:val="center"/>
            <w:hideMark/>
          </w:tcPr>
          <w:p w:rsidR="00E3605E" w:rsidRDefault="00E3605E">
            <w:pPr>
              <w:jc w:val="right"/>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r>
      <w:tr w:rsidR="00E3605E" w:rsidTr="00E3605E">
        <w:trPr>
          <w:trHeight w:val="345"/>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执行数</w:t>
            </w:r>
          </w:p>
        </w:tc>
        <w:tc>
          <w:tcPr>
            <w:tcW w:w="3810"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178.36</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自评总分</w:t>
            </w:r>
          </w:p>
        </w:tc>
        <w:tc>
          <w:tcPr>
            <w:tcW w:w="3810"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98</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项目执行情况</w:t>
            </w:r>
          </w:p>
        </w:tc>
        <w:tc>
          <w:tcPr>
            <w:tcW w:w="3810"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执行率94.67%</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存在的问题</w:t>
            </w:r>
          </w:p>
        </w:tc>
        <w:tc>
          <w:tcPr>
            <w:tcW w:w="3810"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无</w:t>
            </w:r>
          </w:p>
        </w:tc>
      </w:tr>
      <w:tr w:rsidR="00E3605E" w:rsidTr="00E3605E">
        <w:trPr>
          <w:trHeight w:val="345"/>
        </w:trPr>
        <w:tc>
          <w:tcPr>
            <w:tcW w:w="3360"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pPr>
              <w:rPr>
                <w:rFonts w:cs="Arial"/>
                <w:sz w:val="18"/>
                <w:szCs w:val="18"/>
              </w:rPr>
            </w:pPr>
            <w:r>
              <w:rPr>
                <w:rFonts w:cs="Arial" w:hint="eastAsia"/>
                <w:sz w:val="18"/>
                <w:szCs w:val="18"/>
              </w:rPr>
              <w:t>整改措施</w:t>
            </w:r>
          </w:p>
        </w:tc>
        <w:tc>
          <w:tcPr>
            <w:tcW w:w="3810"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无</w:t>
            </w:r>
          </w:p>
        </w:tc>
      </w:tr>
      <w:tr w:rsidR="00E3605E" w:rsidTr="00E3605E">
        <w:trPr>
          <w:trHeight w:val="345"/>
        </w:trPr>
        <w:tc>
          <w:tcPr>
            <w:tcW w:w="336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120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39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75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c>
          <w:tcPr>
            <w:tcW w:w="210" w:type="dxa"/>
            <w:tcBorders>
              <w:top w:val="nil"/>
              <w:left w:val="nil"/>
              <w:bottom w:val="nil"/>
              <w:right w:val="nil"/>
            </w:tcBorders>
            <w:shd w:val="clear" w:color="auto" w:fill="auto"/>
            <w:vAlign w:val="bottom"/>
            <w:hideMark/>
          </w:tcPr>
          <w:p w:rsidR="00E3605E" w:rsidRDefault="00E3605E">
            <w:pPr>
              <w:rPr>
                <w:rFonts w:cs="Arial"/>
                <w:sz w:val="18"/>
                <w:szCs w:val="18"/>
              </w:rPr>
            </w:pP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姓名</w:t>
            </w:r>
          </w:p>
        </w:tc>
        <w:tc>
          <w:tcPr>
            <w:tcW w:w="159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职称</w:t>
            </w:r>
          </w:p>
        </w:tc>
        <w:tc>
          <w:tcPr>
            <w:tcW w:w="2010"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单位</w:t>
            </w:r>
          </w:p>
        </w:tc>
      </w:tr>
      <w:tr w:rsidR="00E3605E" w:rsidTr="00E3605E">
        <w:trPr>
          <w:trHeight w:val="345"/>
        </w:trPr>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彭希鹤</w:t>
            </w:r>
          </w:p>
        </w:tc>
        <w:tc>
          <w:tcPr>
            <w:tcW w:w="1590"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无</w:t>
            </w:r>
          </w:p>
        </w:tc>
        <w:tc>
          <w:tcPr>
            <w:tcW w:w="2010"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pPr>
              <w:jc w:val="center"/>
              <w:rPr>
                <w:rFonts w:cs="Arial"/>
                <w:sz w:val="18"/>
                <w:szCs w:val="18"/>
              </w:rPr>
            </w:pPr>
            <w:r>
              <w:rPr>
                <w:rFonts w:cs="Arial" w:hint="eastAsia"/>
                <w:sz w:val="18"/>
                <w:szCs w:val="18"/>
              </w:rPr>
              <w:t>监督局</w:t>
            </w:r>
          </w:p>
        </w:tc>
      </w:tr>
    </w:tbl>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Default="00E3605E">
      <w:pPr>
        <w:spacing w:line="600" w:lineRule="atLeast"/>
        <w:ind w:firstLine="640"/>
        <w:jc w:val="both"/>
        <w:rPr>
          <w:rFonts w:ascii="仿宋" w:eastAsia="仿宋" w:hAnsi="仿宋" w:cs="Arial"/>
          <w:sz w:val="32"/>
          <w:szCs w:val="32"/>
        </w:rPr>
      </w:pPr>
    </w:p>
    <w:p w:rsidR="00E3605E" w:rsidRPr="00E3605E" w:rsidRDefault="00E3605E">
      <w:pPr>
        <w:spacing w:line="600" w:lineRule="atLeast"/>
        <w:ind w:firstLine="640"/>
        <w:jc w:val="both"/>
        <w:rPr>
          <w:rFonts w:ascii="仿宋" w:eastAsia="仿宋" w:hAnsi="仿宋" w:cs="Arial"/>
          <w:sz w:val="32"/>
          <w:szCs w:val="32"/>
        </w:rPr>
      </w:pPr>
      <w:r w:rsidRPr="00AE10CB">
        <w:rPr>
          <w:rFonts w:ascii="仿宋" w:eastAsia="仿宋" w:hAnsi="仿宋" w:cs="Arial" w:hint="eastAsia"/>
          <w:sz w:val="32"/>
          <w:szCs w:val="32"/>
        </w:rPr>
        <w:lastRenderedPageBreak/>
        <w:t>全县政府投资项目预结算评审专项业务费</w:t>
      </w:r>
      <w:r>
        <w:rPr>
          <w:rFonts w:ascii="仿宋" w:eastAsia="仿宋" w:hAnsi="仿宋" w:cs="Arial" w:hint="eastAsia"/>
          <w:sz w:val="32"/>
          <w:szCs w:val="32"/>
        </w:rPr>
        <w:t>项目绩效自评综述：根据年初设定的绩效目标，项目自评得分99分，自评结论为“优秀”。项目全年预算数为245万元，执行数为244.94万元，完成预算的99.97%。项目绩效目标完成情况：</w:t>
      </w:r>
      <w:r w:rsidRPr="002643AF">
        <w:rPr>
          <w:rFonts w:ascii="仿宋" w:eastAsia="仿宋" w:hAnsi="仿宋" w:cs="Arial" w:hint="eastAsia"/>
          <w:sz w:val="32"/>
          <w:szCs w:val="32"/>
        </w:rPr>
        <w:t>一是项目目标明确，预算严谨；二是项目相关管理制度健全，管理机构健全，项目执行程序到位。三是项目支出合理合</w:t>
      </w:r>
      <w:proofErr w:type="gramStart"/>
      <w:r w:rsidRPr="002643AF">
        <w:rPr>
          <w:rFonts w:ascii="仿宋" w:eastAsia="仿宋" w:hAnsi="仿宋" w:cs="Arial" w:hint="eastAsia"/>
          <w:sz w:val="32"/>
          <w:szCs w:val="32"/>
        </w:rPr>
        <w:t>规</w:t>
      </w:r>
      <w:proofErr w:type="gramEnd"/>
      <w:r w:rsidRPr="002643AF">
        <w:rPr>
          <w:rFonts w:ascii="仿宋" w:eastAsia="仿宋" w:hAnsi="仿宋" w:cs="Arial" w:hint="eastAsia"/>
          <w:sz w:val="32"/>
          <w:szCs w:val="32"/>
        </w:rPr>
        <w:t>，未发现重大不合</w:t>
      </w:r>
      <w:proofErr w:type="gramStart"/>
      <w:r w:rsidRPr="002643AF">
        <w:rPr>
          <w:rFonts w:ascii="仿宋" w:eastAsia="仿宋" w:hAnsi="仿宋" w:cs="Arial" w:hint="eastAsia"/>
          <w:sz w:val="32"/>
          <w:szCs w:val="32"/>
        </w:rPr>
        <w:t>规</w:t>
      </w:r>
      <w:proofErr w:type="gramEnd"/>
      <w:r w:rsidRPr="002643AF">
        <w:rPr>
          <w:rFonts w:ascii="仿宋" w:eastAsia="仿宋" w:hAnsi="仿宋" w:cs="Arial" w:hint="eastAsia"/>
          <w:sz w:val="32"/>
          <w:szCs w:val="32"/>
        </w:rPr>
        <w:t>；四是根据项目单位预期申报绩效目标，项目产出与项目预期绩效产出完整性、相关性、匹配性均有关联。发现的问题及原因：</w:t>
      </w:r>
      <w:r>
        <w:rPr>
          <w:rFonts w:ascii="仿宋" w:eastAsia="仿宋" w:hAnsi="仿宋" w:cs="Arial" w:hint="eastAsia"/>
          <w:sz w:val="32"/>
          <w:szCs w:val="32"/>
        </w:rPr>
        <w:t>无</w:t>
      </w:r>
      <w:r w:rsidRPr="002643AF">
        <w:rPr>
          <w:rFonts w:ascii="仿宋" w:eastAsia="仿宋" w:hAnsi="仿宋" w:cs="Arial" w:hint="eastAsia"/>
          <w:sz w:val="32"/>
          <w:szCs w:val="32"/>
        </w:rPr>
        <w:t>。下一步改进措施：</w:t>
      </w:r>
      <w:r>
        <w:rPr>
          <w:rFonts w:ascii="仿宋" w:eastAsia="仿宋" w:hAnsi="仿宋" w:cs="Arial" w:hint="eastAsia"/>
          <w:sz w:val="32"/>
          <w:szCs w:val="32"/>
        </w:rPr>
        <w:t>无</w:t>
      </w:r>
      <w:r w:rsidRPr="002643AF">
        <w:rPr>
          <w:rFonts w:ascii="仿宋" w:eastAsia="仿宋" w:hAnsi="仿宋" w:cs="Arial" w:hint="eastAsia"/>
          <w:sz w:val="32"/>
          <w:szCs w:val="32"/>
        </w:rPr>
        <w:t>。</w:t>
      </w:r>
    </w:p>
    <w:tbl>
      <w:tblPr>
        <w:tblpPr w:leftFromText="180" w:rightFromText="180" w:vertAnchor="text" w:horzAnchor="page" w:tblpX="1273" w:tblpY="-5679"/>
        <w:tblW w:w="10061" w:type="dxa"/>
        <w:tblLook w:val="04A0" w:firstRow="1" w:lastRow="0" w:firstColumn="1" w:lastColumn="0" w:noHBand="0" w:noVBand="1"/>
      </w:tblPr>
      <w:tblGrid>
        <w:gridCol w:w="3546"/>
        <w:gridCol w:w="396"/>
        <w:gridCol w:w="936"/>
        <w:gridCol w:w="1188"/>
        <w:gridCol w:w="1619"/>
        <w:gridCol w:w="396"/>
        <w:gridCol w:w="396"/>
        <w:gridCol w:w="396"/>
        <w:gridCol w:w="396"/>
        <w:gridCol w:w="396"/>
        <w:gridCol w:w="396"/>
      </w:tblGrid>
      <w:tr w:rsidR="00E3605E" w:rsidTr="00E3605E">
        <w:trPr>
          <w:trHeight w:val="315"/>
        </w:trPr>
        <w:tc>
          <w:tcPr>
            <w:tcW w:w="354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93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1188"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1619"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r>
      <w:tr w:rsidR="00E3605E" w:rsidTr="00E3605E">
        <w:trPr>
          <w:trHeight w:val="315"/>
        </w:trPr>
        <w:tc>
          <w:tcPr>
            <w:tcW w:w="10061" w:type="dxa"/>
            <w:gridSpan w:val="11"/>
            <w:vMerge w:val="restart"/>
            <w:tcBorders>
              <w:top w:val="nil"/>
              <w:left w:val="nil"/>
              <w:bottom w:val="nil"/>
              <w:right w:val="nil"/>
            </w:tcBorders>
            <w:shd w:val="clear" w:color="auto" w:fill="auto"/>
            <w:noWrap/>
            <w:vAlign w:val="center"/>
            <w:hideMark/>
          </w:tcPr>
          <w:p w:rsidR="00E3605E" w:rsidRDefault="00E3605E" w:rsidP="00E3605E">
            <w:pPr>
              <w:jc w:val="center"/>
              <w:rPr>
                <w:rFonts w:cs="Arial"/>
                <w:sz w:val="18"/>
                <w:szCs w:val="18"/>
              </w:rPr>
            </w:pPr>
            <w:r>
              <w:rPr>
                <w:rFonts w:cs="Arial" w:hint="eastAsia"/>
                <w:sz w:val="18"/>
                <w:szCs w:val="18"/>
              </w:rPr>
              <w:t>财政支出项目绩效自评报告</w:t>
            </w:r>
          </w:p>
        </w:tc>
      </w:tr>
      <w:tr w:rsidR="00E3605E" w:rsidTr="00E3605E">
        <w:trPr>
          <w:trHeight w:val="315"/>
        </w:trPr>
        <w:tc>
          <w:tcPr>
            <w:tcW w:w="10061" w:type="dxa"/>
            <w:gridSpan w:val="11"/>
            <w:vMerge/>
            <w:tcBorders>
              <w:top w:val="nil"/>
              <w:left w:val="nil"/>
              <w:bottom w:val="nil"/>
              <w:right w:val="nil"/>
            </w:tcBorders>
            <w:vAlign w:val="center"/>
            <w:hideMark/>
          </w:tcPr>
          <w:p w:rsidR="00E3605E" w:rsidRDefault="00E3605E" w:rsidP="00E3605E">
            <w:pPr>
              <w:rPr>
                <w:rFonts w:cs="Arial"/>
                <w:sz w:val="18"/>
                <w:szCs w:val="18"/>
              </w:rPr>
            </w:pPr>
          </w:p>
        </w:tc>
      </w:tr>
      <w:tr w:rsidR="00E3605E" w:rsidTr="00E3605E">
        <w:trPr>
          <w:trHeight w:val="315"/>
        </w:trPr>
        <w:tc>
          <w:tcPr>
            <w:tcW w:w="354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93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1188"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1619"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noWrap/>
            <w:vAlign w:val="bottom"/>
            <w:hideMark/>
          </w:tcPr>
          <w:p w:rsidR="00E3605E" w:rsidRDefault="00E3605E" w:rsidP="00E3605E">
            <w:pPr>
              <w:rPr>
                <w:rFonts w:cs="Arial"/>
                <w:sz w:val="18"/>
                <w:szCs w:val="18"/>
              </w:rPr>
            </w:pP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项目实施单位</w:t>
            </w:r>
          </w:p>
        </w:tc>
        <w:tc>
          <w:tcPr>
            <w:tcW w:w="6119"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苍南县财政局</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项目名称</w:t>
            </w:r>
          </w:p>
        </w:tc>
        <w:tc>
          <w:tcPr>
            <w:tcW w:w="6119"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全县政府投资项目预结算评审专项业务费</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项目负责人</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彭希鹤</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项目起止时间</w:t>
            </w:r>
          </w:p>
        </w:tc>
        <w:tc>
          <w:tcPr>
            <w:tcW w:w="3995"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2021.1.1-12.31</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联系电话</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64703619</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地址</w:t>
            </w:r>
          </w:p>
        </w:tc>
        <w:tc>
          <w:tcPr>
            <w:tcW w:w="3995"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苍南县灵溪镇春晖路555号</w:t>
            </w:r>
          </w:p>
        </w:tc>
      </w:tr>
      <w:tr w:rsidR="00E3605E" w:rsidTr="00E3605E">
        <w:trPr>
          <w:trHeight w:val="1740"/>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项目实施概况</w:t>
            </w:r>
          </w:p>
        </w:tc>
        <w:tc>
          <w:tcPr>
            <w:tcW w:w="6119"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对审价范围内的项目进行预算及结算审核，加强财政投资项目资金管理。</w:t>
            </w:r>
            <w:r>
              <w:rPr>
                <w:rFonts w:cs="Arial" w:hint="eastAsia"/>
                <w:sz w:val="18"/>
                <w:szCs w:val="18"/>
              </w:rPr>
              <w:br/>
            </w:r>
            <w:r>
              <w:rPr>
                <w:rFonts w:cs="Arial" w:hint="eastAsia"/>
                <w:sz w:val="18"/>
                <w:szCs w:val="18"/>
              </w:rPr>
              <w:br/>
              <w:t>根据</w:t>
            </w:r>
            <w:proofErr w:type="gramStart"/>
            <w:r>
              <w:rPr>
                <w:rFonts w:cs="Arial" w:hint="eastAsia"/>
                <w:sz w:val="18"/>
                <w:szCs w:val="18"/>
              </w:rPr>
              <w:t>浙价服【2009】</w:t>
            </w:r>
            <w:proofErr w:type="gramEnd"/>
            <w:r>
              <w:rPr>
                <w:rFonts w:cs="Arial" w:hint="eastAsia"/>
                <w:sz w:val="18"/>
                <w:szCs w:val="18"/>
              </w:rPr>
              <w:t>84号文件以及2019年送审项目数量及金额的测算</w:t>
            </w:r>
            <w:r>
              <w:rPr>
                <w:rFonts w:cs="Arial" w:hint="eastAsia"/>
                <w:sz w:val="18"/>
                <w:szCs w:val="18"/>
              </w:rPr>
              <w:br/>
            </w:r>
            <w:r>
              <w:rPr>
                <w:rFonts w:cs="Arial" w:hint="eastAsia"/>
                <w:sz w:val="18"/>
                <w:szCs w:val="18"/>
              </w:rPr>
              <w:br/>
              <w:t>结算：5000万以上的项目，15万/</w:t>
            </w:r>
            <w:proofErr w:type="gramStart"/>
            <w:r>
              <w:rPr>
                <w:rFonts w:cs="Arial" w:hint="eastAsia"/>
                <w:sz w:val="18"/>
                <w:szCs w:val="18"/>
              </w:rPr>
              <w:t>个</w:t>
            </w:r>
            <w:proofErr w:type="gramEnd"/>
            <w:r>
              <w:rPr>
                <w:rFonts w:cs="Arial" w:hint="eastAsia"/>
                <w:sz w:val="18"/>
                <w:szCs w:val="18"/>
              </w:rPr>
              <w:t>，共4个，60万元；2000万-5000万以上的项目，4万/</w:t>
            </w:r>
            <w:proofErr w:type="gramStart"/>
            <w:r>
              <w:rPr>
                <w:rFonts w:cs="Arial" w:hint="eastAsia"/>
                <w:sz w:val="18"/>
                <w:szCs w:val="18"/>
              </w:rPr>
              <w:t>个</w:t>
            </w:r>
            <w:proofErr w:type="gramEnd"/>
            <w:r>
              <w:rPr>
                <w:rFonts w:cs="Arial" w:hint="eastAsia"/>
                <w:sz w:val="18"/>
                <w:szCs w:val="18"/>
              </w:rPr>
              <w:t>，共10个，40万元；400万-2000万以上的项目，2.5万/</w:t>
            </w:r>
            <w:proofErr w:type="gramStart"/>
            <w:r>
              <w:rPr>
                <w:rFonts w:cs="Arial" w:hint="eastAsia"/>
                <w:sz w:val="18"/>
                <w:szCs w:val="18"/>
              </w:rPr>
              <w:t>个</w:t>
            </w:r>
            <w:proofErr w:type="gramEnd"/>
            <w:r>
              <w:rPr>
                <w:rFonts w:cs="Arial" w:hint="eastAsia"/>
                <w:sz w:val="18"/>
                <w:szCs w:val="18"/>
              </w:rPr>
              <w:t>，共20个，50万元；50万-400万以上的项目，0.5万/</w:t>
            </w:r>
            <w:proofErr w:type="gramStart"/>
            <w:r>
              <w:rPr>
                <w:rFonts w:cs="Arial" w:hint="eastAsia"/>
                <w:sz w:val="18"/>
                <w:szCs w:val="18"/>
              </w:rPr>
              <w:t>个</w:t>
            </w:r>
            <w:proofErr w:type="gramEnd"/>
            <w:r>
              <w:rPr>
                <w:rFonts w:cs="Arial" w:hint="eastAsia"/>
                <w:sz w:val="18"/>
                <w:szCs w:val="18"/>
              </w:rPr>
              <w:t>，共30个，15万元；</w:t>
            </w:r>
            <w:r>
              <w:rPr>
                <w:rFonts w:cs="Arial" w:hint="eastAsia"/>
                <w:sz w:val="18"/>
                <w:szCs w:val="18"/>
              </w:rPr>
              <w:br/>
            </w:r>
            <w:r>
              <w:rPr>
                <w:rFonts w:cs="Arial" w:hint="eastAsia"/>
                <w:sz w:val="18"/>
                <w:szCs w:val="18"/>
              </w:rPr>
              <w:br/>
              <w:t>EPC和PPP项目：50万元；</w:t>
            </w:r>
            <w:r>
              <w:rPr>
                <w:rFonts w:cs="Arial" w:hint="eastAsia"/>
                <w:sz w:val="18"/>
                <w:szCs w:val="18"/>
              </w:rPr>
              <w:br/>
            </w:r>
            <w:r>
              <w:rPr>
                <w:rFonts w:cs="Arial" w:hint="eastAsia"/>
                <w:sz w:val="18"/>
                <w:szCs w:val="18"/>
              </w:rPr>
              <w:br/>
              <w:t>预算审查费：30万元。</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计划安排资金(万元)</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245</w:t>
            </w:r>
          </w:p>
        </w:tc>
        <w:tc>
          <w:tcPr>
            <w:tcW w:w="2807"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实际到位资金(万元)</w:t>
            </w:r>
          </w:p>
        </w:tc>
        <w:tc>
          <w:tcPr>
            <w:tcW w:w="2376"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245</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其中:中央财政资金</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0</w:t>
            </w:r>
          </w:p>
        </w:tc>
        <w:tc>
          <w:tcPr>
            <w:tcW w:w="2807"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其中:中央财政资金</w:t>
            </w:r>
          </w:p>
        </w:tc>
        <w:tc>
          <w:tcPr>
            <w:tcW w:w="2376"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0</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省财政资金</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0</w:t>
            </w:r>
          </w:p>
        </w:tc>
        <w:tc>
          <w:tcPr>
            <w:tcW w:w="2807"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省财政资金</w:t>
            </w:r>
          </w:p>
        </w:tc>
        <w:tc>
          <w:tcPr>
            <w:tcW w:w="2376"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0</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市财政资金</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0</w:t>
            </w:r>
          </w:p>
        </w:tc>
        <w:tc>
          <w:tcPr>
            <w:tcW w:w="2807"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市财政资金</w:t>
            </w:r>
          </w:p>
        </w:tc>
        <w:tc>
          <w:tcPr>
            <w:tcW w:w="2376"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0</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其他</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0</w:t>
            </w:r>
          </w:p>
        </w:tc>
        <w:tc>
          <w:tcPr>
            <w:tcW w:w="2807"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其他</w:t>
            </w:r>
          </w:p>
        </w:tc>
        <w:tc>
          <w:tcPr>
            <w:tcW w:w="2376" w:type="dxa"/>
            <w:gridSpan w:val="6"/>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0</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实际支出(元)</w:t>
            </w:r>
          </w:p>
        </w:tc>
        <w:tc>
          <w:tcPr>
            <w:tcW w:w="6119" w:type="dxa"/>
            <w:gridSpan w:val="9"/>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2449435.7</w:t>
            </w:r>
          </w:p>
        </w:tc>
      </w:tr>
      <w:tr w:rsidR="00E3605E" w:rsidTr="00E3605E">
        <w:trPr>
          <w:trHeight w:val="315"/>
        </w:trPr>
        <w:tc>
          <w:tcPr>
            <w:tcW w:w="354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93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1188"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1619"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支出内容(按经济科目详列)</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计划支出数(万元)</w:t>
            </w:r>
          </w:p>
        </w:tc>
        <w:tc>
          <w:tcPr>
            <w:tcW w:w="3995"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实际支出数(万元)</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支出合计</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245</w:t>
            </w:r>
          </w:p>
        </w:tc>
        <w:tc>
          <w:tcPr>
            <w:tcW w:w="3995"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244.94</w:t>
            </w:r>
          </w:p>
        </w:tc>
      </w:tr>
      <w:tr w:rsidR="00E3605E" w:rsidTr="00E3605E">
        <w:trPr>
          <w:trHeight w:val="315"/>
        </w:trPr>
        <w:tc>
          <w:tcPr>
            <w:tcW w:w="354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93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1188"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1619"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r>
      <w:tr w:rsidR="00E3605E" w:rsidTr="00E3605E">
        <w:trPr>
          <w:trHeight w:val="315"/>
        </w:trPr>
        <w:tc>
          <w:tcPr>
            <w:tcW w:w="100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绩效指标</w:t>
            </w:r>
          </w:p>
        </w:tc>
      </w:tr>
      <w:tr w:rsidR="00E3605E" w:rsidTr="00E3605E">
        <w:trPr>
          <w:trHeight w:val="990"/>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一级指标</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二级指标</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三级指标</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年度指标值</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实际完成值</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指标分值</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自评得分</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指标性质</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符号</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数量</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单位</w:t>
            </w:r>
          </w:p>
        </w:tc>
      </w:tr>
      <w:tr w:rsidR="00E3605E" w:rsidTr="00E3605E">
        <w:trPr>
          <w:trHeight w:val="118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执行率</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预算执行率</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100%</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该项目实际支出244.94万元，预算执行率为99.97%。</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19</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r>
      <w:tr w:rsidR="00E3605E" w:rsidTr="00E3605E">
        <w:trPr>
          <w:trHeight w:val="118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合理性</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资金支出合理合</w:t>
            </w:r>
            <w:proofErr w:type="gramStart"/>
            <w:r>
              <w:rPr>
                <w:rFonts w:cs="Arial" w:hint="eastAsia"/>
                <w:sz w:val="18"/>
                <w:szCs w:val="18"/>
              </w:rPr>
              <w:t>规</w:t>
            </w:r>
            <w:proofErr w:type="gramEnd"/>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合理</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本年项目支出明细内容包括对审价范围内的项目进行预算及结算审核。符合国家相关法律法规、财务管理制度等规定，且均在预算范围内，无与本项目预算不相符或无关的资金支出。</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r>
      <w:tr w:rsidR="00E3605E" w:rsidTr="00E3605E">
        <w:trPr>
          <w:trHeight w:val="118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管理水平</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项目组织管理水平</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1≥*2*%</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本项目建立了项目管理制度，并严格按相关制度执行。</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r>
      <w:tr w:rsidR="00E3605E" w:rsidTr="00E3605E">
        <w:trPr>
          <w:trHeight w:val="118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效益</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项目效益（效果）</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1≥*2*%</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项目绩效效果目标为“完成县级财政项目预算及结算评审监督，及时发放项目评审费用。”</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r>
      <w:tr w:rsidR="00E3605E" w:rsidTr="00E3605E">
        <w:trPr>
          <w:trHeight w:val="118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编制水平</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项目预算及预期绩效目标编制水平</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50天</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本项目预算（即投入目标）编制科学、规范、合理，预期绩效目标申报完整，产出、效果类关键性指标清晰、明确、量化，投入与项目产出、效果目标匹配。</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r>
      <w:tr w:rsidR="00E3605E" w:rsidTr="00E3605E">
        <w:trPr>
          <w:trHeight w:val="118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执行率</w:t>
            </w:r>
          </w:p>
        </w:tc>
        <w:tc>
          <w:tcPr>
            <w:tcW w:w="93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预算执行率</w:t>
            </w:r>
          </w:p>
        </w:tc>
        <w:tc>
          <w:tcPr>
            <w:tcW w:w="1188"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101%</w:t>
            </w:r>
          </w:p>
        </w:tc>
        <w:tc>
          <w:tcPr>
            <w:tcW w:w="1619"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该项目实际支出244.94万元，预算执行率为99.98%。</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jc w:val="right"/>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20</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c>
          <w:tcPr>
            <w:tcW w:w="396" w:type="dxa"/>
            <w:tcBorders>
              <w:top w:val="nil"/>
              <w:left w:val="nil"/>
              <w:bottom w:val="single" w:sz="4" w:space="0" w:color="000000"/>
              <w:right w:val="single" w:sz="4" w:space="0" w:color="000000"/>
            </w:tcBorders>
            <w:shd w:val="clear" w:color="auto" w:fill="auto"/>
            <w:vAlign w:val="bottom"/>
            <w:hideMark/>
          </w:tcPr>
          <w:p w:rsidR="00E3605E" w:rsidRDefault="00E3605E" w:rsidP="00E3605E">
            <w:pPr>
              <w:rPr>
                <w:rFonts w:cs="Arial"/>
                <w:sz w:val="18"/>
                <w:szCs w:val="18"/>
              </w:rPr>
            </w:pPr>
            <w:r>
              <w:rPr>
                <w:rFonts w:cs="Arial" w:hint="eastAsia"/>
                <w:sz w:val="18"/>
                <w:szCs w:val="18"/>
              </w:rPr>
              <w:t xml:space="preserve">　</w:t>
            </w:r>
          </w:p>
        </w:tc>
      </w:tr>
      <w:tr w:rsidR="00E3605E" w:rsidTr="00E3605E">
        <w:trPr>
          <w:trHeight w:val="31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执行数</w:t>
            </w:r>
          </w:p>
        </w:tc>
        <w:tc>
          <w:tcPr>
            <w:tcW w:w="6515"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bookmarkStart w:id="0" w:name="_GoBack"/>
            <w:r>
              <w:rPr>
                <w:rFonts w:cs="Arial" w:hint="eastAsia"/>
                <w:sz w:val="18"/>
                <w:szCs w:val="18"/>
              </w:rPr>
              <w:t>2449435.7</w:t>
            </w:r>
            <w:bookmarkEnd w:id="0"/>
          </w:p>
        </w:tc>
      </w:tr>
      <w:tr w:rsidR="00E3605E" w:rsidTr="00E3605E">
        <w:trPr>
          <w:trHeight w:val="31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自评总分</w:t>
            </w:r>
          </w:p>
        </w:tc>
        <w:tc>
          <w:tcPr>
            <w:tcW w:w="6515"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99</w:t>
            </w:r>
          </w:p>
        </w:tc>
      </w:tr>
      <w:tr w:rsidR="00E3605E" w:rsidTr="00E3605E">
        <w:trPr>
          <w:trHeight w:val="31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项目执行情况</w:t>
            </w:r>
          </w:p>
        </w:tc>
        <w:tc>
          <w:tcPr>
            <w:tcW w:w="6515"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执行率99.97%</w:t>
            </w:r>
          </w:p>
        </w:tc>
      </w:tr>
      <w:tr w:rsidR="00E3605E" w:rsidTr="00E3605E">
        <w:trPr>
          <w:trHeight w:val="31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存在的问题</w:t>
            </w:r>
          </w:p>
        </w:tc>
        <w:tc>
          <w:tcPr>
            <w:tcW w:w="6515"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无</w:t>
            </w:r>
          </w:p>
        </w:tc>
      </w:tr>
      <w:tr w:rsidR="00E3605E" w:rsidTr="00E3605E">
        <w:trPr>
          <w:trHeight w:val="315"/>
        </w:trPr>
        <w:tc>
          <w:tcPr>
            <w:tcW w:w="3546" w:type="dxa"/>
            <w:tcBorders>
              <w:top w:val="nil"/>
              <w:left w:val="single" w:sz="4" w:space="0" w:color="000000"/>
              <w:bottom w:val="single" w:sz="4" w:space="0" w:color="000000"/>
              <w:right w:val="single" w:sz="4" w:space="0" w:color="000000"/>
            </w:tcBorders>
            <w:shd w:val="clear" w:color="auto" w:fill="auto"/>
            <w:vAlign w:val="center"/>
            <w:hideMark/>
          </w:tcPr>
          <w:p w:rsidR="00E3605E" w:rsidRDefault="00E3605E" w:rsidP="00E3605E">
            <w:pPr>
              <w:rPr>
                <w:rFonts w:cs="Arial"/>
                <w:sz w:val="18"/>
                <w:szCs w:val="18"/>
              </w:rPr>
            </w:pPr>
            <w:r>
              <w:rPr>
                <w:rFonts w:cs="Arial" w:hint="eastAsia"/>
                <w:sz w:val="18"/>
                <w:szCs w:val="18"/>
              </w:rPr>
              <w:t>整改措施</w:t>
            </w:r>
          </w:p>
        </w:tc>
        <w:tc>
          <w:tcPr>
            <w:tcW w:w="6515" w:type="dxa"/>
            <w:gridSpan w:val="10"/>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无</w:t>
            </w:r>
          </w:p>
        </w:tc>
      </w:tr>
      <w:tr w:rsidR="00E3605E" w:rsidTr="00E3605E">
        <w:trPr>
          <w:trHeight w:val="315"/>
        </w:trPr>
        <w:tc>
          <w:tcPr>
            <w:tcW w:w="354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93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1188"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1619"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c>
          <w:tcPr>
            <w:tcW w:w="396" w:type="dxa"/>
            <w:tcBorders>
              <w:top w:val="nil"/>
              <w:left w:val="nil"/>
              <w:bottom w:val="nil"/>
              <w:right w:val="nil"/>
            </w:tcBorders>
            <w:shd w:val="clear" w:color="auto" w:fill="auto"/>
            <w:vAlign w:val="bottom"/>
            <w:hideMark/>
          </w:tcPr>
          <w:p w:rsidR="00E3605E" w:rsidRDefault="00E3605E" w:rsidP="00E3605E">
            <w:pPr>
              <w:rPr>
                <w:rFonts w:cs="Arial"/>
                <w:sz w:val="18"/>
                <w:szCs w:val="18"/>
              </w:rPr>
            </w:pP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姓名</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职称</w:t>
            </w:r>
          </w:p>
        </w:tc>
        <w:tc>
          <w:tcPr>
            <w:tcW w:w="3995"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单位</w:t>
            </w:r>
          </w:p>
        </w:tc>
      </w:tr>
      <w:tr w:rsidR="00E3605E" w:rsidTr="00E3605E">
        <w:trPr>
          <w:trHeight w:val="315"/>
        </w:trPr>
        <w:tc>
          <w:tcPr>
            <w:tcW w:w="3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彭希鹤</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 xml:space="preserve">　</w:t>
            </w:r>
          </w:p>
        </w:tc>
        <w:tc>
          <w:tcPr>
            <w:tcW w:w="3995" w:type="dxa"/>
            <w:gridSpan w:val="7"/>
            <w:tcBorders>
              <w:top w:val="single" w:sz="4" w:space="0" w:color="000000"/>
              <w:left w:val="nil"/>
              <w:bottom w:val="single" w:sz="4" w:space="0" w:color="000000"/>
              <w:right w:val="single" w:sz="4" w:space="0" w:color="000000"/>
            </w:tcBorders>
            <w:shd w:val="clear" w:color="auto" w:fill="auto"/>
            <w:vAlign w:val="center"/>
            <w:hideMark/>
          </w:tcPr>
          <w:p w:rsidR="00E3605E" w:rsidRDefault="00E3605E" w:rsidP="00E3605E">
            <w:pPr>
              <w:jc w:val="center"/>
              <w:rPr>
                <w:rFonts w:cs="Arial"/>
                <w:sz w:val="18"/>
                <w:szCs w:val="18"/>
              </w:rPr>
            </w:pPr>
            <w:r>
              <w:rPr>
                <w:rFonts w:cs="Arial" w:hint="eastAsia"/>
                <w:sz w:val="18"/>
                <w:szCs w:val="18"/>
              </w:rPr>
              <w:t>监督局</w:t>
            </w:r>
          </w:p>
        </w:tc>
      </w:tr>
    </w:tbl>
    <w:p w:rsidR="00622CAF" w:rsidRDefault="00622CAF">
      <w:pPr>
        <w:spacing w:line="600" w:lineRule="atLeast"/>
        <w:ind w:firstLine="640"/>
        <w:jc w:val="both"/>
        <w:rPr>
          <w:rStyle w:val="a6"/>
          <w:rFonts w:ascii="仿宋" w:eastAsia="仿宋" w:hAnsi="仿宋" w:cs="Arial"/>
          <w:sz w:val="32"/>
          <w:szCs w:val="32"/>
        </w:rPr>
      </w:pPr>
    </w:p>
    <w:p w:rsidR="002337D1" w:rsidRDefault="00F75F6D">
      <w:pPr>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3.财政评价项目绩效评价结果。</w:t>
      </w:r>
    </w:p>
    <w:p w:rsidR="00206E51" w:rsidRPr="002337D1" w:rsidRDefault="00F75F6D" w:rsidP="002337D1">
      <w:pPr>
        <w:spacing w:line="600" w:lineRule="atLeast"/>
        <w:ind w:firstLine="640"/>
        <w:jc w:val="both"/>
        <w:rPr>
          <w:rFonts w:ascii="仿宋" w:eastAsia="仿宋" w:hAnsi="仿宋" w:cs="Arial"/>
          <w:b/>
          <w:bCs/>
          <w:sz w:val="32"/>
          <w:szCs w:val="32"/>
        </w:rPr>
      </w:pPr>
      <w:r>
        <w:rPr>
          <w:rStyle w:val="a6"/>
          <w:rFonts w:ascii="仿宋" w:eastAsia="仿宋" w:hAnsi="仿宋" w:cs="Arial" w:hint="eastAsia"/>
          <w:sz w:val="32"/>
          <w:szCs w:val="32"/>
        </w:rPr>
        <w:t>无。</w:t>
      </w:r>
    </w:p>
    <w:p w:rsidR="002337D1" w:rsidRDefault="00F75F6D">
      <w:pPr>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4.部门评价项目绩效评价结果。</w:t>
      </w:r>
    </w:p>
    <w:p w:rsidR="00206E51" w:rsidRDefault="00F75F6D">
      <w:pPr>
        <w:spacing w:line="600" w:lineRule="atLeast"/>
        <w:ind w:firstLine="640"/>
        <w:jc w:val="both"/>
      </w:pPr>
      <w:r>
        <w:rPr>
          <w:rStyle w:val="a6"/>
          <w:rFonts w:ascii="仿宋" w:eastAsia="仿宋" w:hAnsi="仿宋" w:cs="Arial" w:hint="eastAsia"/>
          <w:sz w:val="32"/>
          <w:szCs w:val="32"/>
        </w:rPr>
        <w:t>无。</w:t>
      </w:r>
    </w:p>
    <w:p w:rsidR="00206E51" w:rsidRDefault="00F75F6D">
      <w:pPr>
        <w:spacing w:line="600" w:lineRule="atLeast"/>
        <w:ind w:firstLine="640"/>
        <w:jc w:val="both"/>
      </w:pPr>
      <w:r>
        <w:rPr>
          <w:rStyle w:val="a6"/>
          <w:rFonts w:ascii="仿宋" w:eastAsia="仿宋" w:hAnsi="仿宋" w:cs="Arial" w:hint="eastAsia"/>
          <w:sz w:val="32"/>
          <w:szCs w:val="32"/>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rsidR="00206E51" w:rsidRDefault="00F75F6D">
      <w:pPr>
        <w:spacing w:line="600" w:lineRule="atLeast"/>
        <w:ind w:firstLine="640"/>
        <w:jc w:val="both"/>
      </w:pPr>
      <w:r>
        <w:rPr>
          <w:rStyle w:val="a6"/>
          <w:rFonts w:ascii="黑体" w:eastAsia="黑体" w:hAnsi="黑体" w:cs="Arial" w:hint="eastAsia"/>
          <w:sz w:val="32"/>
          <w:szCs w:val="32"/>
        </w:rPr>
        <w:lastRenderedPageBreak/>
        <w:t>四、名词解释</w:t>
      </w:r>
    </w:p>
    <w:p w:rsidR="00206E51" w:rsidRDefault="00F75F6D">
      <w:pPr>
        <w:spacing w:line="600" w:lineRule="atLeast"/>
        <w:ind w:firstLine="640"/>
        <w:jc w:val="both"/>
      </w:pPr>
      <w:r>
        <w:rPr>
          <w:rStyle w:val="a6"/>
          <w:rFonts w:ascii="仿宋" w:eastAsia="仿宋" w:hAnsi="仿宋" w:cs="Arial" w:hint="eastAsia"/>
          <w:sz w:val="32"/>
          <w:szCs w:val="32"/>
        </w:rPr>
        <w:t>1.财政拨款收入：指本级财政部</w:t>
      </w:r>
      <w:proofErr w:type="gramStart"/>
      <w:r>
        <w:rPr>
          <w:rStyle w:val="a6"/>
          <w:rFonts w:ascii="仿宋" w:eastAsia="仿宋" w:hAnsi="仿宋" w:cs="Arial" w:hint="eastAsia"/>
          <w:sz w:val="32"/>
          <w:szCs w:val="32"/>
        </w:rPr>
        <w:t>门当年</w:t>
      </w:r>
      <w:proofErr w:type="gramEnd"/>
      <w:r>
        <w:rPr>
          <w:rStyle w:val="a6"/>
          <w:rFonts w:ascii="仿宋" w:eastAsia="仿宋" w:hAnsi="仿宋" w:cs="Arial" w:hint="eastAsia"/>
          <w:sz w:val="32"/>
          <w:szCs w:val="32"/>
        </w:rPr>
        <w:t>拨付的财政预算资金，包括一般公共预算财政拨款、政府性基金预算财政拨款和国有资本经营预算财政拨款。</w:t>
      </w:r>
    </w:p>
    <w:p w:rsidR="00206E51" w:rsidRDefault="00F75F6D">
      <w:pPr>
        <w:spacing w:line="600" w:lineRule="atLeast"/>
        <w:ind w:firstLine="640"/>
        <w:jc w:val="both"/>
      </w:pPr>
      <w:r>
        <w:rPr>
          <w:rStyle w:val="a6"/>
          <w:rFonts w:ascii="仿宋" w:eastAsia="仿宋" w:hAnsi="仿宋" w:cs="Arial" w:hint="eastAsia"/>
          <w:sz w:val="32"/>
          <w:szCs w:val="32"/>
        </w:rPr>
        <w:t>2.事业收入：指事业单位开展专业业务活动及辅助活动所取得的收入。</w:t>
      </w:r>
    </w:p>
    <w:p w:rsidR="00206E51" w:rsidRDefault="00F75F6D">
      <w:pPr>
        <w:spacing w:line="600" w:lineRule="atLeast"/>
        <w:ind w:firstLine="640"/>
        <w:jc w:val="both"/>
      </w:pPr>
      <w:r>
        <w:rPr>
          <w:rStyle w:val="a6"/>
          <w:rFonts w:ascii="仿宋" w:eastAsia="仿宋" w:hAnsi="仿宋" w:cs="Arial" w:hint="eastAsia"/>
          <w:sz w:val="32"/>
          <w:szCs w:val="32"/>
        </w:rPr>
        <w:t>3.经营收入：指事业单位在专业业务活动及辅助活动之外开展非独立核算经营活动取得的收入。</w:t>
      </w:r>
    </w:p>
    <w:p w:rsidR="00206E51" w:rsidRDefault="00F75F6D">
      <w:pPr>
        <w:spacing w:line="600" w:lineRule="atLeast"/>
        <w:ind w:firstLine="640"/>
        <w:jc w:val="both"/>
      </w:pPr>
      <w:r>
        <w:rPr>
          <w:rStyle w:val="a6"/>
          <w:rFonts w:ascii="仿宋" w:eastAsia="仿宋" w:hAnsi="仿宋" w:cs="Arial" w:hint="eastAsia"/>
          <w:sz w:val="32"/>
          <w:szCs w:val="32"/>
        </w:rPr>
        <w:t>4.上级补助收入：指事业单位从主管部门和上级单位取得的非财政补助收入。</w:t>
      </w:r>
    </w:p>
    <w:p w:rsidR="00206E51" w:rsidRDefault="00F75F6D">
      <w:pPr>
        <w:spacing w:line="600" w:lineRule="atLeast"/>
        <w:ind w:firstLine="640"/>
        <w:jc w:val="both"/>
      </w:pPr>
      <w:r>
        <w:rPr>
          <w:rStyle w:val="a6"/>
          <w:rFonts w:ascii="仿宋" w:eastAsia="仿宋" w:hAnsi="仿宋" w:cs="Arial" w:hint="eastAsia"/>
          <w:sz w:val="32"/>
          <w:szCs w:val="32"/>
        </w:rPr>
        <w:t>5.附属单位上缴收入：指事业单位附属独立核算单位按照有关规定上缴的收入。</w:t>
      </w:r>
    </w:p>
    <w:p w:rsidR="00206E51" w:rsidRDefault="00F75F6D">
      <w:pPr>
        <w:spacing w:line="600" w:lineRule="atLeast"/>
        <w:ind w:firstLine="640"/>
        <w:jc w:val="both"/>
      </w:pPr>
      <w:r>
        <w:rPr>
          <w:rStyle w:val="a6"/>
          <w:rFonts w:ascii="仿宋" w:eastAsia="仿宋" w:hAnsi="仿宋" w:cs="Arial" w:hint="eastAsia"/>
          <w:sz w:val="32"/>
          <w:szCs w:val="32"/>
        </w:rPr>
        <w:t>6.其他收入：指预算单位在“财政拨款”、“事业收入”、“经营收入”、“上级补助收入”、“附属单位上缴收入”等之外取得的各项收入。</w:t>
      </w:r>
    </w:p>
    <w:p w:rsidR="00206E51" w:rsidRDefault="00F75F6D">
      <w:pPr>
        <w:spacing w:line="600" w:lineRule="atLeast"/>
        <w:ind w:firstLine="640"/>
        <w:jc w:val="both"/>
      </w:pPr>
      <w:r>
        <w:rPr>
          <w:rStyle w:val="a6"/>
          <w:rFonts w:ascii="仿宋" w:eastAsia="仿宋" w:hAnsi="仿宋" w:cs="Arial" w:hint="eastAsia"/>
          <w:sz w:val="32"/>
          <w:szCs w:val="32"/>
        </w:rPr>
        <w:t>7.使用非财政拨款结余：指事业单位使用以前年度积累的非财政拨款结余弥补当年收支差额的金额。</w:t>
      </w:r>
    </w:p>
    <w:p w:rsidR="00206E51" w:rsidRDefault="00F75F6D">
      <w:pPr>
        <w:spacing w:line="600" w:lineRule="atLeast"/>
        <w:ind w:firstLine="640"/>
        <w:jc w:val="both"/>
      </w:pPr>
      <w:r>
        <w:rPr>
          <w:rStyle w:val="a6"/>
          <w:rFonts w:ascii="仿宋" w:eastAsia="仿宋" w:hAnsi="仿宋" w:cs="Arial" w:hint="eastAsia"/>
          <w:sz w:val="32"/>
          <w:szCs w:val="32"/>
        </w:rPr>
        <w:t>8.年初结转和结余：指预算单位以前年度尚未完成、结转到本年仍按原规定用途继续使用的资金。</w:t>
      </w:r>
    </w:p>
    <w:p w:rsidR="00206E51" w:rsidRDefault="00F75F6D">
      <w:pPr>
        <w:spacing w:line="600" w:lineRule="atLeast"/>
        <w:ind w:firstLine="640"/>
        <w:jc w:val="both"/>
      </w:pPr>
      <w:r>
        <w:rPr>
          <w:rStyle w:val="a6"/>
          <w:rFonts w:ascii="仿宋" w:eastAsia="仿宋" w:hAnsi="仿宋" w:cs="Arial" w:hint="eastAsia"/>
          <w:sz w:val="32"/>
          <w:szCs w:val="32"/>
        </w:rPr>
        <w:t>9.年末结转和结余：指单位按有关规定结转到下年或以后年度继续使用的资金。</w:t>
      </w:r>
    </w:p>
    <w:p w:rsidR="00206E51" w:rsidRDefault="00F75F6D">
      <w:pPr>
        <w:spacing w:line="600" w:lineRule="atLeast"/>
        <w:ind w:firstLine="640"/>
        <w:jc w:val="both"/>
      </w:pPr>
      <w:r>
        <w:rPr>
          <w:rStyle w:val="a6"/>
          <w:rFonts w:ascii="仿宋" w:eastAsia="仿宋" w:hAnsi="仿宋" w:cs="Arial" w:hint="eastAsia"/>
          <w:sz w:val="32"/>
          <w:szCs w:val="32"/>
        </w:rPr>
        <w:lastRenderedPageBreak/>
        <w:t>10.基本支出：指预算单位为保障其正常运转，完成日常工作任务所发生的支出，包括人员经费支出和日常公用经费支出。</w:t>
      </w:r>
    </w:p>
    <w:p w:rsidR="00206E51" w:rsidRDefault="00F75F6D">
      <w:pPr>
        <w:spacing w:line="600" w:lineRule="atLeast"/>
        <w:ind w:firstLine="640"/>
        <w:jc w:val="both"/>
      </w:pPr>
      <w:r>
        <w:rPr>
          <w:rStyle w:val="a6"/>
          <w:rFonts w:ascii="仿宋" w:eastAsia="仿宋" w:hAnsi="仿宋" w:cs="Arial" w:hint="eastAsia"/>
          <w:sz w:val="32"/>
          <w:szCs w:val="32"/>
        </w:rPr>
        <w:t>11.项目支出：指预算单位为完成其特定的行政工作任务或事业发展目标所发生的支出。</w:t>
      </w:r>
    </w:p>
    <w:p w:rsidR="00206E51" w:rsidRDefault="00F75F6D">
      <w:pPr>
        <w:spacing w:line="600" w:lineRule="atLeast"/>
        <w:ind w:firstLine="640"/>
        <w:jc w:val="both"/>
      </w:pPr>
      <w:r>
        <w:rPr>
          <w:rStyle w:val="a6"/>
          <w:rFonts w:ascii="仿宋" w:eastAsia="仿宋" w:hAnsi="仿宋" w:cs="Arial" w:hint="eastAsia"/>
          <w:sz w:val="32"/>
          <w:szCs w:val="32"/>
        </w:rPr>
        <w:t>12.上缴上级支出：填列事业单位按照财政部门和主管部门的规定上缴上级单位的支出。</w:t>
      </w:r>
    </w:p>
    <w:p w:rsidR="00206E51" w:rsidRDefault="00F75F6D">
      <w:pPr>
        <w:spacing w:line="600" w:lineRule="atLeast"/>
        <w:ind w:firstLine="640"/>
        <w:jc w:val="both"/>
      </w:pPr>
      <w:r>
        <w:rPr>
          <w:rStyle w:val="a6"/>
          <w:rFonts w:ascii="仿宋" w:eastAsia="仿宋" w:hAnsi="仿宋" w:cs="Arial" w:hint="eastAsia"/>
          <w:sz w:val="32"/>
          <w:szCs w:val="32"/>
        </w:rPr>
        <w:t>13.经营支出：指事业单位在专业业务活动及其辅助活动之外开展非独立核算经营活动发生的支出。</w:t>
      </w:r>
    </w:p>
    <w:p w:rsidR="00206E51" w:rsidRDefault="00F75F6D">
      <w:pPr>
        <w:spacing w:line="600" w:lineRule="atLeast"/>
        <w:ind w:firstLine="640"/>
        <w:jc w:val="both"/>
      </w:pPr>
      <w:r>
        <w:rPr>
          <w:rStyle w:val="a6"/>
          <w:rFonts w:ascii="仿宋" w:eastAsia="仿宋" w:hAnsi="仿宋" w:cs="Arial" w:hint="eastAsia"/>
          <w:sz w:val="32"/>
          <w:szCs w:val="32"/>
        </w:rPr>
        <w:t>14.附属单位补助支出：填列事业单位用财政补助收入之外的收入对附属单位补助发生的支出。</w:t>
      </w:r>
    </w:p>
    <w:p w:rsidR="00206E51" w:rsidRDefault="00F75F6D">
      <w:pPr>
        <w:spacing w:line="600" w:lineRule="atLeast"/>
        <w:ind w:firstLine="640"/>
        <w:jc w:val="both"/>
      </w:pPr>
      <w:r>
        <w:rPr>
          <w:rStyle w:val="a6"/>
          <w:rFonts w:ascii="仿宋" w:eastAsia="仿宋" w:hAnsi="仿宋" w:cs="Arial" w:hint="eastAsia"/>
          <w:sz w:val="32"/>
          <w:szCs w:val="32"/>
        </w:rPr>
        <w:t>15.“三公”经费：纳入财政预决算管理的“三公”经费，是指部门用一般公共预算财政拨款安排的因公出国（境）费、公务用车购置及运行费和公务接待费。其中，因公出国（境）</w:t>
      </w:r>
      <w:proofErr w:type="gramStart"/>
      <w:r>
        <w:rPr>
          <w:rStyle w:val="a6"/>
          <w:rFonts w:ascii="仿宋" w:eastAsia="仿宋" w:hAnsi="仿宋" w:cs="Arial" w:hint="eastAsia"/>
          <w:sz w:val="32"/>
          <w:szCs w:val="32"/>
        </w:rPr>
        <w:t>费反映</w:t>
      </w:r>
      <w:proofErr w:type="gramEnd"/>
      <w:r>
        <w:rPr>
          <w:rStyle w:val="a6"/>
          <w:rFonts w:ascii="仿宋" w:eastAsia="仿宋" w:hAnsi="仿宋" w:cs="Arial" w:hint="eastAsia"/>
          <w:sz w:val="32"/>
          <w:szCs w:val="32"/>
        </w:rPr>
        <w:t>单位公务出国（境）的国际旅费、国外城市间交通费、住宿费、伙食费、培训费、公杂费等支出，不含教学科研人员学术交流；公务用车购置及运行</w:t>
      </w:r>
      <w:proofErr w:type="gramStart"/>
      <w:r>
        <w:rPr>
          <w:rStyle w:val="a6"/>
          <w:rFonts w:ascii="仿宋" w:eastAsia="仿宋" w:hAnsi="仿宋" w:cs="Arial" w:hint="eastAsia"/>
          <w:sz w:val="32"/>
          <w:szCs w:val="32"/>
        </w:rPr>
        <w:t>费反映</w:t>
      </w:r>
      <w:proofErr w:type="gramEnd"/>
      <w:r>
        <w:rPr>
          <w:rStyle w:val="a6"/>
          <w:rFonts w:ascii="仿宋" w:eastAsia="仿宋" w:hAnsi="仿宋" w:cs="Arial" w:hint="eastAsia"/>
          <w:sz w:val="32"/>
          <w:szCs w:val="32"/>
        </w:rPr>
        <w:t>单位公务用车车辆购置支出（</w:t>
      </w:r>
      <w:proofErr w:type="gramStart"/>
      <w:r>
        <w:rPr>
          <w:rStyle w:val="a6"/>
          <w:rFonts w:ascii="仿宋" w:eastAsia="仿宋" w:hAnsi="仿宋" w:cs="Arial" w:hint="eastAsia"/>
          <w:sz w:val="32"/>
          <w:szCs w:val="32"/>
        </w:rPr>
        <w:t>含车辆</w:t>
      </w:r>
      <w:proofErr w:type="gramEnd"/>
      <w:r>
        <w:rPr>
          <w:rStyle w:val="a6"/>
          <w:rFonts w:ascii="仿宋" w:eastAsia="仿宋" w:hAnsi="仿宋" w:cs="Arial" w:hint="eastAsia"/>
          <w:sz w:val="32"/>
          <w:szCs w:val="32"/>
        </w:rPr>
        <w:t>购置税）</w:t>
      </w:r>
      <w:proofErr w:type="gramStart"/>
      <w:r>
        <w:rPr>
          <w:rStyle w:val="a6"/>
          <w:rFonts w:ascii="仿宋" w:eastAsia="仿宋" w:hAnsi="仿宋" w:cs="Arial" w:hint="eastAsia"/>
          <w:sz w:val="32"/>
          <w:szCs w:val="32"/>
        </w:rPr>
        <w:t>及燃费</w:t>
      </w:r>
      <w:proofErr w:type="gramEnd"/>
      <w:r>
        <w:rPr>
          <w:rStyle w:val="a6"/>
          <w:rFonts w:ascii="仿宋" w:eastAsia="仿宋" w:hAnsi="仿宋" w:cs="Arial" w:hint="eastAsia"/>
          <w:sz w:val="32"/>
          <w:szCs w:val="32"/>
        </w:rPr>
        <w:t>、维修费、过桥过路费、保险费等支出；公务接待</w:t>
      </w:r>
      <w:proofErr w:type="gramStart"/>
      <w:r>
        <w:rPr>
          <w:rStyle w:val="a6"/>
          <w:rFonts w:ascii="仿宋" w:eastAsia="仿宋" w:hAnsi="仿宋" w:cs="Arial" w:hint="eastAsia"/>
          <w:sz w:val="32"/>
          <w:szCs w:val="32"/>
        </w:rPr>
        <w:t>费反映</w:t>
      </w:r>
      <w:proofErr w:type="gramEnd"/>
      <w:r>
        <w:rPr>
          <w:rStyle w:val="a6"/>
          <w:rFonts w:ascii="仿宋" w:eastAsia="仿宋" w:hAnsi="仿宋" w:cs="Arial" w:hint="eastAsia"/>
          <w:sz w:val="32"/>
          <w:szCs w:val="32"/>
        </w:rPr>
        <w:t>单位按规定开支的各类公务接待（含外宾接待）支出。</w:t>
      </w:r>
    </w:p>
    <w:p w:rsidR="00206E51" w:rsidRDefault="00F75F6D">
      <w:pPr>
        <w:spacing w:line="600" w:lineRule="atLeast"/>
        <w:ind w:firstLine="640"/>
        <w:jc w:val="both"/>
      </w:pPr>
      <w:r>
        <w:rPr>
          <w:rStyle w:val="a6"/>
          <w:rFonts w:ascii="仿宋" w:eastAsia="仿宋" w:hAnsi="仿宋" w:cs="Arial" w:hint="eastAsia"/>
          <w:sz w:val="32"/>
          <w:szCs w:val="32"/>
        </w:rPr>
        <w:lastRenderedPageBreak/>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06E51" w:rsidRDefault="00F75F6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17. 一般公共服务支出（类）财政事务（款）行政运行（项）：指反映行政单位（包括实行公务员管理的事业单位）的基本支出。</w:t>
      </w:r>
    </w:p>
    <w:p w:rsidR="00206E51" w:rsidRDefault="00F75F6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18.一般公共服务支出（类）财政事务（款）一般行政管理事务（项）：指反映行政单位（包括实行公务员管理的事业单位）未单独设置项级科目的其他项目支出。</w:t>
      </w:r>
    </w:p>
    <w:p w:rsidR="00206E51" w:rsidRDefault="00F75F6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19.一般公共服务支出（类）财政事务（款）事业运行（项）：指反映事业单位的基本支出，不包括行政单位（包括实行公务员管理的事业单位）后勤服务中心、医务室等附属事业单位。</w:t>
      </w:r>
    </w:p>
    <w:p w:rsidR="00206E51" w:rsidRDefault="00F75F6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20.社会保障和就业支出（类）行政事业单位养老支出（款）机关事业单位基本养老保险缴费支出（项）：指反映机关事业单位实施养老制度由单位缴纳的基本养老保险支出。</w:t>
      </w:r>
    </w:p>
    <w:p w:rsidR="00206E51" w:rsidRDefault="00F75F6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lastRenderedPageBreak/>
        <w:t>21.社会保障和就业支出（类）行政事业单位养老支出（款）机关事业单位职业年金缴费支出（项）：指反映机关事业单位实施养老保险制度由单位实际缴纳的职工年金支出。</w:t>
      </w:r>
    </w:p>
    <w:p w:rsidR="00F75F6D" w:rsidRDefault="00F75F6D">
      <w:pPr>
        <w:spacing w:line="600" w:lineRule="atLeast"/>
        <w:ind w:firstLine="640"/>
        <w:jc w:val="both"/>
      </w:pPr>
    </w:p>
    <w:sectPr w:rsidR="00F75F6D">
      <w:footerReference w:type="default" r:id="rId7"/>
      <w:pgSz w:w="11907" w:h="16840"/>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70" w:rsidRDefault="00BE2470">
      <w:r>
        <w:separator/>
      </w:r>
    </w:p>
  </w:endnote>
  <w:endnote w:type="continuationSeparator" w:id="0">
    <w:p w:rsidR="00BE2470" w:rsidRDefault="00BE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7809297"/>
      <w:docPartObj>
        <w:docPartGallery w:val="Page Numbers (Bottom of Page)"/>
        <w:docPartUnique/>
      </w:docPartObj>
    </w:sdtPr>
    <w:sdtEndPr/>
    <w:sdtContent>
      <w:p w:rsidR="00E3605E" w:rsidRDefault="00E3605E">
        <w:pPr>
          <w:pStyle w:val="a5"/>
          <w:jc w:val="center"/>
        </w:pPr>
        <w:r>
          <w:rPr>
            <w:rFonts w:hint="eastAsia"/>
          </w:rPr>
          <w:fldChar w:fldCharType="begin"/>
        </w:r>
        <w:r>
          <w:rPr>
            <w:rFonts w:hint="eastAsia"/>
          </w:rPr>
          <w:instrText>PAGE   \* MERGEFORMAT</w:instrText>
        </w:r>
        <w:r>
          <w:rPr>
            <w:rFonts w:hint="eastAsia"/>
          </w:rPr>
          <w:fldChar w:fldCharType="separate"/>
        </w:r>
        <w:r w:rsidR="00C07815" w:rsidRPr="00C07815">
          <w:rPr>
            <w:noProof/>
            <w:lang w:val="zh-CN"/>
          </w:rPr>
          <w:t>22</w:t>
        </w:r>
        <w:r>
          <w:rPr>
            <w:rFonts w:hint="eastAsia"/>
          </w:rPr>
          <w:fldChar w:fldCharType="end"/>
        </w:r>
      </w:p>
    </w:sdtContent>
  </w:sdt>
  <w:p w:rsidR="00E3605E" w:rsidRDefault="00E36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70" w:rsidRDefault="00BE2470">
      <w:r>
        <w:separator/>
      </w:r>
    </w:p>
  </w:footnote>
  <w:footnote w:type="continuationSeparator" w:id="0">
    <w:p w:rsidR="00BE2470" w:rsidRDefault="00BE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27EDB"/>
    <w:rsid w:val="000277CA"/>
    <w:rsid w:val="00082E48"/>
    <w:rsid w:val="00141F73"/>
    <w:rsid w:val="001B01FE"/>
    <w:rsid w:val="00206E51"/>
    <w:rsid w:val="002337D1"/>
    <w:rsid w:val="00331990"/>
    <w:rsid w:val="005B7D33"/>
    <w:rsid w:val="00622CAF"/>
    <w:rsid w:val="00727EDB"/>
    <w:rsid w:val="00AE10CB"/>
    <w:rsid w:val="00BE2470"/>
    <w:rsid w:val="00C07815"/>
    <w:rsid w:val="00C25C2C"/>
    <w:rsid w:val="00C86676"/>
    <w:rsid w:val="00DE63D4"/>
    <w:rsid w:val="00E3605E"/>
    <w:rsid w:val="00E57F5B"/>
    <w:rsid w:val="00F7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2187">
      <w:bodyDiv w:val="1"/>
      <w:marLeft w:val="0"/>
      <w:marRight w:val="0"/>
      <w:marTop w:val="0"/>
      <w:marBottom w:val="0"/>
      <w:divBdr>
        <w:top w:val="none" w:sz="0" w:space="0" w:color="auto"/>
        <w:left w:val="none" w:sz="0" w:space="0" w:color="auto"/>
        <w:bottom w:val="none" w:sz="0" w:space="0" w:color="auto"/>
        <w:right w:val="none" w:sz="0" w:space="0" w:color="auto"/>
      </w:divBdr>
    </w:div>
    <w:div w:id="314530221">
      <w:bodyDiv w:val="1"/>
      <w:marLeft w:val="0"/>
      <w:marRight w:val="0"/>
      <w:marTop w:val="0"/>
      <w:marBottom w:val="0"/>
      <w:divBdr>
        <w:top w:val="none" w:sz="0" w:space="0" w:color="auto"/>
        <w:left w:val="none" w:sz="0" w:space="0" w:color="auto"/>
        <w:bottom w:val="none" w:sz="0" w:space="0" w:color="auto"/>
        <w:right w:val="none" w:sz="0" w:space="0" w:color="auto"/>
      </w:divBdr>
    </w:div>
    <w:div w:id="414281493">
      <w:bodyDiv w:val="1"/>
      <w:marLeft w:val="0"/>
      <w:marRight w:val="0"/>
      <w:marTop w:val="0"/>
      <w:marBottom w:val="0"/>
      <w:divBdr>
        <w:top w:val="none" w:sz="0" w:space="0" w:color="auto"/>
        <w:left w:val="none" w:sz="0" w:space="0" w:color="auto"/>
        <w:bottom w:val="none" w:sz="0" w:space="0" w:color="auto"/>
        <w:right w:val="none" w:sz="0" w:space="0" w:color="auto"/>
      </w:divBdr>
    </w:div>
    <w:div w:id="467667306">
      <w:bodyDiv w:val="1"/>
      <w:marLeft w:val="0"/>
      <w:marRight w:val="0"/>
      <w:marTop w:val="0"/>
      <w:marBottom w:val="0"/>
      <w:divBdr>
        <w:top w:val="none" w:sz="0" w:space="0" w:color="auto"/>
        <w:left w:val="none" w:sz="0" w:space="0" w:color="auto"/>
        <w:bottom w:val="none" w:sz="0" w:space="0" w:color="auto"/>
        <w:right w:val="none" w:sz="0" w:space="0" w:color="auto"/>
      </w:divBdr>
    </w:div>
    <w:div w:id="1179615029">
      <w:bodyDiv w:val="1"/>
      <w:marLeft w:val="0"/>
      <w:marRight w:val="0"/>
      <w:marTop w:val="0"/>
      <w:marBottom w:val="0"/>
      <w:divBdr>
        <w:top w:val="none" w:sz="0" w:space="0" w:color="auto"/>
        <w:left w:val="none" w:sz="0" w:space="0" w:color="auto"/>
        <w:bottom w:val="none" w:sz="0" w:space="0" w:color="auto"/>
        <w:right w:val="none" w:sz="0" w:space="0" w:color="auto"/>
      </w:divBdr>
    </w:div>
    <w:div w:id="1850099598">
      <w:bodyDiv w:val="1"/>
      <w:marLeft w:val="0"/>
      <w:marRight w:val="0"/>
      <w:marTop w:val="0"/>
      <w:marBottom w:val="0"/>
      <w:divBdr>
        <w:top w:val="none" w:sz="0" w:space="0" w:color="auto"/>
        <w:left w:val="none" w:sz="0" w:space="0" w:color="auto"/>
        <w:bottom w:val="none" w:sz="0" w:space="0" w:color="auto"/>
        <w:right w:val="none" w:sz="0" w:space="0" w:color="auto"/>
      </w:divBdr>
    </w:div>
    <w:div w:id="1902519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27</Pages>
  <Words>1965</Words>
  <Characters>11205</Characters>
  <Application>Microsoft Office Word</Application>
  <DocSecurity>0</DocSecurity>
  <Lines>93</Lines>
  <Paragraphs>26</Paragraphs>
  <ScaleCrop>false</ScaleCrop>
  <Company>Microsoft</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Root</cp:lastModifiedBy>
  <cp:revision>7</cp:revision>
  <dcterms:created xsi:type="dcterms:W3CDTF">2022-09-26T08:44:00Z</dcterms:created>
  <dcterms:modified xsi:type="dcterms:W3CDTF">2022-09-27T06:43:00Z</dcterms:modified>
</cp:coreProperties>
</file>