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FB" w:rsidRDefault="00E040FB" w:rsidP="00E040FB">
      <w:pPr>
        <w:jc w:val="center"/>
        <w:rPr>
          <w:kern w:val="32"/>
          <w:szCs w:val="20"/>
        </w:rPr>
      </w:pPr>
      <w:bookmarkStart w:id="0" w:name="_GoBack"/>
      <w:bookmarkEnd w:id="0"/>
    </w:p>
    <w:p w:rsidR="00E040FB" w:rsidRDefault="00E040FB" w:rsidP="00E040FB">
      <w:pPr>
        <w:jc w:val="center"/>
        <w:rPr>
          <w:kern w:val="32"/>
          <w:szCs w:val="20"/>
        </w:rPr>
      </w:pPr>
    </w:p>
    <w:p w:rsidR="00E040FB" w:rsidRDefault="00E040FB" w:rsidP="00E040FB">
      <w:pPr>
        <w:jc w:val="center"/>
        <w:rPr>
          <w:kern w:val="32"/>
          <w:szCs w:val="20"/>
        </w:rPr>
      </w:pPr>
    </w:p>
    <w:p w:rsidR="00E040FB" w:rsidRDefault="00E040FB" w:rsidP="00E040FB">
      <w:pPr>
        <w:jc w:val="center"/>
        <w:rPr>
          <w:kern w:val="32"/>
          <w:szCs w:val="20"/>
        </w:rPr>
      </w:pPr>
    </w:p>
    <w:p w:rsidR="00E040FB" w:rsidRDefault="00E040FB" w:rsidP="00E040FB">
      <w:pPr>
        <w:jc w:val="center"/>
        <w:rPr>
          <w:kern w:val="32"/>
          <w:szCs w:val="20"/>
        </w:rPr>
      </w:pPr>
    </w:p>
    <w:p w:rsidR="00E040FB" w:rsidRDefault="00E040FB" w:rsidP="00E040FB">
      <w:pPr>
        <w:jc w:val="center"/>
        <w:rPr>
          <w:kern w:val="32"/>
          <w:szCs w:val="20"/>
        </w:rPr>
      </w:pPr>
    </w:p>
    <w:p w:rsidR="00E040FB" w:rsidRDefault="00E040FB" w:rsidP="00E040FB">
      <w:pPr>
        <w:jc w:val="center"/>
        <w:rPr>
          <w:kern w:val="32"/>
          <w:szCs w:val="20"/>
        </w:rPr>
      </w:pPr>
    </w:p>
    <w:p w:rsidR="00E040FB" w:rsidRDefault="00E040FB" w:rsidP="00E040FB">
      <w:pPr>
        <w:jc w:val="center"/>
        <w:rPr>
          <w:kern w:val="32"/>
          <w:szCs w:val="20"/>
        </w:rPr>
      </w:pPr>
      <w:r w:rsidRPr="00D766E3">
        <w:rPr>
          <w:kern w:val="32"/>
          <w:szCs w:val="20"/>
        </w:rPr>
        <w:fldChar w:fldCharType="begin"/>
      </w:r>
      <w:r w:rsidRPr="00D766E3">
        <w:rPr>
          <w:kern w:val="32"/>
          <w:szCs w:val="20"/>
        </w:rPr>
        <w:instrText xml:space="preserve"> MERGEFIELD </w:instrText>
      </w:r>
      <w:r w:rsidRPr="00D766E3">
        <w:rPr>
          <w:rFonts w:hint="eastAsia"/>
          <w:kern w:val="32"/>
          <w:szCs w:val="20"/>
        </w:rPr>
        <w:instrText>文件字号</w:instrText>
      </w:r>
      <w:r w:rsidRPr="00D766E3">
        <w:rPr>
          <w:kern w:val="32"/>
          <w:szCs w:val="20"/>
        </w:rPr>
        <w:instrText xml:space="preserve"> </w:instrText>
      </w:r>
      <w:r w:rsidRPr="00D766E3">
        <w:rPr>
          <w:kern w:val="32"/>
          <w:szCs w:val="20"/>
        </w:rPr>
        <w:fldChar w:fldCharType="separate"/>
      </w:r>
      <w:r w:rsidRPr="00A71309">
        <w:rPr>
          <w:rFonts w:hint="eastAsia"/>
          <w:noProof/>
          <w:kern w:val="32"/>
          <w:szCs w:val="20"/>
        </w:rPr>
        <w:t>苍政发〔</w:t>
      </w:r>
      <w:r w:rsidRPr="00A71309">
        <w:rPr>
          <w:rFonts w:hint="eastAsia"/>
          <w:noProof/>
          <w:kern w:val="32"/>
          <w:szCs w:val="20"/>
        </w:rPr>
        <w:t>2018</w:t>
      </w:r>
      <w:r w:rsidRPr="00A71309">
        <w:rPr>
          <w:rFonts w:hint="eastAsia"/>
          <w:noProof/>
          <w:kern w:val="32"/>
          <w:szCs w:val="20"/>
        </w:rPr>
        <w:t>〕</w:t>
      </w:r>
      <w:r w:rsidRPr="00A71309">
        <w:rPr>
          <w:rFonts w:hint="eastAsia"/>
          <w:noProof/>
          <w:kern w:val="32"/>
          <w:szCs w:val="20"/>
        </w:rPr>
        <w:t>15</w:t>
      </w:r>
      <w:r w:rsidRPr="00A71309">
        <w:rPr>
          <w:rFonts w:hint="eastAsia"/>
          <w:noProof/>
          <w:kern w:val="32"/>
          <w:szCs w:val="20"/>
        </w:rPr>
        <w:t>号</w:t>
      </w:r>
      <w:r w:rsidRPr="00D766E3">
        <w:rPr>
          <w:kern w:val="32"/>
          <w:szCs w:val="20"/>
        </w:rPr>
        <w:fldChar w:fldCharType="end"/>
      </w:r>
    </w:p>
    <w:p w:rsidR="00E040FB" w:rsidRDefault="00E040FB" w:rsidP="00E040FB">
      <w:pPr>
        <w:jc w:val="center"/>
        <w:rPr>
          <w:kern w:val="32"/>
          <w:szCs w:val="20"/>
        </w:rPr>
      </w:pPr>
    </w:p>
    <w:p w:rsidR="00E040FB" w:rsidRPr="00D766E3" w:rsidRDefault="00E040FB" w:rsidP="00E040FB">
      <w:pPr>
        <w:jc w:val="center"/>
        <w:rPr>
          <w:kern w:val="32"/>
          <w:szCs w:val="20"/>
        </w:rPr>
      </w:pPr>
    </w:p>
    <w:p w:rsidR="000354AD" w:rsidRPr="006A3D01" w:rsidRDefault="000354AD" w:rsidP="000354AD">
      <w:pPr>
        <w:snapToGrid w:val="0"/>
        <w:spacing w:line="560" w:lineRule="atLeast"/>
        <w:jc w:val="center"/>
        <w:rPr>
          <w:rFonts w:ascii="方正小标宋简体" w:eastAsia="方正小标宋简体" w:hAnsi="黑体"/>
          <w:sz w:val="44"/>
          <w:szCs w:val="44"/>
        </w:rPr>
      </w:pPr>
      <w:r w:rsidRPr="006A3D01">
        <w:rPr>
          <w:rFonts w:ascii="方正小标宋简体" w:eastAsia="方正小标宋简体" w:hAnsi="黑体" w:hint="eastAsia"/>
          <w:sz w:val="44"/>
          <w:szCs w:val="44"/>
        </w:rPr>
        <w:t>苍南县人民政府</w:t>
      </w:r>
    </w:p>
    <w:p w:rsidR="000354AD" w:rsidRPr="006A3D01" w:rsidRDefault="000354AD" w:rsidP="000354AD">
      <w:pPr>
        <w:spacing w:line="700" w:lineRule="exact"/>
        <w:jc w:val="center"/>
        <w:rPr>
          <w:rFonts w:ascii="方正小标宋简体" w:eastAsia="方正小标宋简体" w:hAnsi="黑体"/>
          <w:sz w:val="44"/>
          <w:szCs w:val="44"/>
        </w:rPr>
      </w:pPr>
      <w:r w:rsidRPr="006A3D01">
        <w:rPr>
          <w:rFonts w:ascii="方正小标宋简体" w:eastAsia="方正小标宋简体" w:hAnsi="黑体" w:hint="eastAsia"/>
          <w:sz w:val="44"/>
          <w:szCs w:val="44"/>
        </w:rPr>
        <w:t>关于加强土地出让金收入分成管理工作的通知</w:t>
      </w:r>
    </w:p>
    <w:p w:rsidR="000354AD" w:rsidRDefault="000354AD" w:rsidP="000354AD">
      <w:pPr>
        <w:widowControl/>
        <w:shd w:val="clear" w:color="auto" w:fill="FFFFFF"/>
        <w:spacing w:line="500" w:lineRule="atLeast"/>
        <w:jc w:val="left"/>
        <w:rPr>
          <w:rFonts w:ascii="仿宋" w:eastAsia="仿宋" w:hAnsi="仿宋" w:cs="宋体"/>
          <w:kern w:val="0"/>
          <w:szCs w:val="32"/>
        </w:rPr>
      </w:pPr>
    </w:p>
    <w:p w:rsidR="000354AD" w:rsidRPr="006A3D01" w:rsidRDefault="000354AD" w:rsidP="000354AD">
      <w:pPr>
        <w:widowControl/>
        <w:shd w:val="clear" w:color="auto" w:fill="FFFFFF"/>
        <w:spacing w:line="500" w:lineRule="atLeast"/>
        <w:jc w:val="left"/>
        <w:rPr>
          <w:rFonts w:ascii="仿宋_GB2312" w:hAnsi="仿宋" w:cs="宋体"/>
          <w:kern w:val="0"/>
          <w:szCs w:val="32"/>
        </w:rPr>
      </w:pPr>
      <w:r w:rsidRPr="006A3D01">
        <w:rPr>
          <w:rFonts w:ascii="仿宋_GB2312" w:hAnsi="仿宋" w:cs="宋体" w:hint="eastAsia"/>
          <w:kern w:val="0"/>
          <w:szCs w:val="32"/>
        </w:rPr>
        <w:t>各乡镇人民政府，县政府直属各单位：</w:t>
      </w:r>
    </w:p>
    <w:p w:rsidR="000354AD" w:rsidRPr="006A3D01" w:rsidRDefault="000354AD" w:rsidP="000354AD">
      <w:pPr>
        <w:widowControl/>
        <w:shd w:val="clear" w:color="auto" w:fill="FFFFFF"/>
        <w:spacing w:line="500" w:lineRule="atLeast"/>
        <w:ind w:firstLineChars="180" w:firstLine="572"/>
        <w:jc w:val="left"/>
        <w:rPr>
          <w:rFonts w:ascii="仿宋_GB2312" w:hAnsi="仿宋" w:cs="宋体"/>
          <w:kern w:val="0"/>
          <w:szCs w:val="32"/>
        </w:rPr>
      </w:pPr>
      <w:r w:rsidRPr="006A3D01">
        <w:rPr>
          <w:rFonts w:ascii="仿宋_GB2312" w:hAnsi="仿宋" w:cs="宋体" w:hint="eastAsia"/>
          <w:kern w:val="0"/>
          <w:szCs w:val="32"/>
        </w:rPr>
        <w:t>为做好国有土地使用权出让收入的征收、使用管理工作，提高土地出让金的“收、管、用”水平，增强政府的调控能力，县政府决定加强土地出让金收入分成管理。现将有关事项通知如下：</w:t>
      </w:r>
    </w:p>
    <w:p w:rsidR="000354AD" w:rsidRPr="006A3D01" w:rsidRDefault="000354AD" w:rsidP="000354AD">
      <w:pPr>
        <w:widowControl/>
        <w:shd w:val="clear" w:color="auto" w:fill="FFFFFF"/>
        <w:spacing w:line="500" w:lineRule="atLeast"/>
        <w:ind w:firstLineChars="230" w:firstLine="731"/>
        <w:jc w:val="left"/>
        <w:rPr>
          <w:rFonts w:ascii="黑体" w:eastAsia="黑体" w:hAnsi="黑体" w:cs="宋体"/>
          <w:kern w:val="0"/>
          <w:szCs w:val="32"/>
        </w:rPr>
      </w:pPr>
      <w:r w:rsidRPr="006A3D01">
        <w:rPr>
          <w:rFonts w:ascii="黑体" w:eastAsia="黑体" w:hAnsi="黑体" w:cs="宋体" w:hint="eastAsia"/>
          <w:kern w:val="0"/>
          <w:szCs w:val="32"/>
        </w:rPr>
        <w:t>一、乡镇土地出让金分成</w:t>
      </w:r>
    </w:p>
    <w:p w:rsidR="000354AD" w:rsidRPr="006A3D01" w:rsidRDefault="000354AD" w:rsidP="000354AD">
      <w:pPr>
        <w:widowControl/>
        <w:shd w:val="clear" w:color="auto" w:fill="FFFFFF"/>
        <w:spacing w:line="500" w:lineRule="atLeast"/>
        <w:ind w:firstLineChars="180" w:firstLine="572"/>
        <w:jc w:val="left"/>
        <w:rPr>
          <w:rFonts w:ascii="仿宋_GB2312" w:hAnsi="仿宋" w:cs="宋体"/>
          <w:kern w:val="0"/>
          <w:szCs w:val="32"/>
        </w:rPr>
      </w:pPr>
      <w:r w:rsidRPr="006A3D01">
        <w:rPr>
          <w:rFonts w:ascii="仿宋_GB2312" w:hAnsi="仿宋" w:cs="宋体" w:hint="eastAsia"/>
          <w:kern w:val="0"/>
          <w:szCs w:val="32"/>
        </w:rPr>
        <w:t>（一）工业用地土地出让金收入分成</w:t>
      </w:r>
    </w:p>
    <w:p w:rsidR="000354AD" w:rsidRPr="006A3D01" w:rsidRDefault="000354AD" w:rsidP="000354AD">
      <w:pPr>
        <w:widowControl/>
        <w:shd w:val="clear" w:color="auto" w:fill="FFFFFF"/>
        <w:spacing w:line="500" w:lineRule="atLeast"/>
        <w:ind w:firstLineChars="180" w:firstLine="572"/>
        <w:jc w:val="left"/>
        <w:rPr>
          <w:rFonts w:ascii="仿宋_GB2312" w:hAnsi="仿宋" w:cs="宋体"/>
          <w:kern w:val="0"/>
          <w:szCs w:val="32"/>
        </w:rPr>
      </w:pPr>
      <w:r w:rsidRPr="006A3D01">
        <w:rPr>
          <w:rFonts w:ascii="仿宋_GB2312" w:hAnsi="仿宋" w:cs="宋体" w:hint="eastAsia"/>
          <w:kern w:val="0"/>
          <w:szCs w:val="32"/>
        </w:rPr>
        <w:t>按照缴入县级国库的工业用地土地出让金收入扣除19%的计提项目和每亩10.5万元的失地农民保障资金后全额返回给乡镇。不涉及失地农民保障的工业用地土地出让金收入分成不扣除每亩10.5万元的失地农民保障资金。</w:t>
      </w:r>
    </w:p>
    <w:p w:rsidR="000354AD" w:rsidRPr="006A3D01" w:rsidRDefault="000354AD" w:rsidP="000354AD">
      <w:pPr>
        <w:widowControl/>
        <w:shd w:val="clear" w:color="auto" w:fill="FFFFFF"/>
        <w:spacing w:line="500" w:lineRule="atLeast"/>
        <w:ind w:firstLineChars="180" w:firstLine="572"/>
        <w:jc w:val="left"/>
        <w:rPr>
          <w:rFonts w:ascii="仿宋_GB2312" w:hAnsi="仿宋" w:cs="宋体"/>
          <w:kern w:val="0"/>
          <w:szCs w:val="32"/>
        </w:rPr>
      </w:pPr>
      <w:r w:rsidRPr="006A3D01">
        <w:rPr>
          <w:rFonts w:ascii="仿宋_GB2312" w:hAnsi="仿宋" w:cs="宋体" w:hint="eastAsia"/>
          <w:kern w:val="0"/>
          <w:szCs w:val="32"/>
        </w:rPr>
        <w:lastRenderedPageBreak/>
        <w:t>（二）商业和普通住宅用地土地出让金收入分成</w:t>
      </w:r>
    </w:p>
    <w:p w:rsidR="000354AD" w:rsidRPr="006A3D01" w:rsidRDefault="000354AD" w:rsidP="000354AD">
      <w:pPr>
        <w:spacing w:line="600" w:lineRule="exact"/>
        <w:ind w:firstLineChars="200" w:firstLine="636"/>
        <w:rPr>
          <w:rFonts w:ascii="仿宋_GB2312" w:hAnsi="仿宋" w:cs="宋体"/>
          <w:szCs w:val="32"/>
          <w:lang w:val="zh-CN"/>
        </w:rPr>
      </w:pPr>
      <w:r w:rsidRPr="006A3D01">
        <w:rPr>
          <w:rFonts w:ascii="仿宋_GB2312" w:hAnsi="仿宋" w:cs="宋体" w:hint="eastAsia"/>
          <w:szCs w:val="32"/>
          <w:lang w:val="zh-CN"/>
        </w:rPr>
        <w:t>县政府召集县国土资源局、县财政局等相关部门制定各乡镇商住用地项目土地出让金收入计划任务数。</w:t>
      </w:r>
    </w:p>
    <w:p w:rsidR="000354AD" w:rsidRPr="006A3D01" w:rsidRDefault="000354AD" w:rsidP="000354AD">
      <w:pPr>
        <w:spacing w:line="600" w:lineRule="exact"/>
        <w:ind w:firstLineChars="200" w:firstLine="636"/>
        <w:rPr>
          <w:rFonts w:ascii="仿宋_GB2312" w:hAnsi="仿宋" w:cs="宋体"/>
          <w:kern w:val="0"/>
          <w:szCs w:val="32"/>
        </w:rPr>
      </w:pPr>
      <w:r w:rsidRPr="006A3D01">
        <w:rPr>
          <w:rFonts w:ascii="仿宋_GB2312" w:hAnsi="仿宋" w:cs="宋体" w:hint="eastAsia"/>
          <w:kern w:val="0"/>
          <w:szCs w:val="32"/>
        </w:rPr>
        <w:t>1.按照缴入县级国库的商业和普通住宅用地土地出让金收入扣除27%的计提项目和每亩10.5万元的失地农民保障资金后，龙港镇</w:t>
      </w:r>
      <w:r w:rsidRPr="006A3D01">
        <w:rPr>
          <w:rFonts w:ascii="仿宋_GB2312" w:hAnsi="仿宋" w:cs="宋体" w:hint="eastAsia"/>
          <w:szCs w:val="32"/>
        </w:rPr>
        <w:t>按县与乡镇23∶77的比例</w:t>
      </w:r>
      <w:r w:rsidRPr="006A3D01">
        <w:rPr>
          <w:rFonts w:ascii="仿宋_GB2312" w:hAnsi="仿宋" w:cs="宋体" w:hint="eastAsia"/>
          <w:kern w:val="0"/>
          <w:szCs w:val="32"/>
        </w:rPr>
        <w:t>分成</w:t>
      </w:r>
      <w:r w:rsidRPr="006A3D01">
        <w:rPr>
          <w:rFonts w:ascii="仿宋_GB2312" w:hAnsi="仿宋" w:cs="宋体" w:hint="eastAsia"/>
          <w:szCs w:val="32"/>
          <w:lang w:val="zh-CN"/>
        </w:rPr>
        <w:t>；</w:t>
      </w:r>
      <w:r w:rsidRPr="006A3D01">
        <w:rPr>
          <w:rFonts w:ascii="仿宋_GB2312" w:hAnsi="仿宋" w:cs="宋体" w:hint="eastAsia"/>
          <w:kern w:val="0"/>
          <w:szCs w:val="32"/>
        </w:rPr>
        <w:t>其他乡镇按县与乡镇30：70分成。</w:t>
      </w:r>
    </w:p>
    <w:p w:rsidR="000354AD" w:rsidRPr="001061C4" w:rsidRDefault="000354AD" w:rsidP="000354AD">
      <w:pPr>
        <w:spacing w:line="600" w:lineRule="exact"/>
        <w:ind w:firstLineChars="200" w:firstLine="636"/>
        <w:rPr>
          <w:rFonts w:ascii="仿宋_GB2312" w:hAnsi="仿宋" w:cs="宋体"/>
          <w:kern w:val="0"/>
          <w:szCs w:val="32"/>
        </w:rPr>
      </w:pPr>
      <w:r w:rsidRPr="006A3D01">
        <w:rPr>
          <w:rFonts w:ascii="仿宋_GB2312" w:hAnsi="仿宋" w:cs="宋体" w:hint="eastAsia"/>
          <w:szCs w:val="32"/>
          <w:lang w:val="zh-CN"/>
        </w:rPr>
        <w:t>2.结合当年县政府制定的乡镇商住用地项目土地出让金收入计划任务数，年终结算时，当年完成率</w:t>
      </w:r>
      <w:r w:rsidRPr="006A3D01">
        <w:rPr>
          <w:rFonts w:ascii="仿宋_GB2312" w:hAnsi="仿宋" w:cs="宋体" w:hint="eastAsia"/>
          <w:szCs w:val="32"/>
        </w:rPr>
        <w:t>低于100%（不含）的，按第一点（二）第1小点的平时</w:t>
      </w:r>
      <w:r w:rsidRPr="006A3D01">
        <w:rPr>
          <w:rFonts w:ascii="仿宋_GB2312" w:hAnsi="仿宋" w:cs="宋体" w:hint="eastAsia"/>
          <w:kern w:val="0"/>
          <w:szCs w:val="32"/>
        </w:rPr>
        <w:t>分成数进行结算；</w:t>
      </w:r>
      <w:r w:rsidRPr="001061C4">
        <w:rPr>
          <w:rFonts w:ascii="仿宋_GB2312" w:hAnsi="仿宋" w:cs="宋体" w:hint="eastAsia"/>
          <w:szCs w:val="32"/>
          <w:lang w:val="zh-CN"/>
        </w:rPr>
        <w:t>当年完成率</w:t>
      </w:r>
      <w:r w:rsidRPr="001061C4">
        <w:rPr>
          <w:rFonts w:ascii="仿宋_GB2312" w:hAnsi="仿宋" w:cs="宋体" w:hint="eastAsia"/>
          <w:szCs w:val="32"/>
        </w:rPr>
        <w:t>高于100%（含）的，</w:t>
      </w:r>
      <w:r w:rsidRPr="001061C4">
        <w:rPr>
          <w:rFonts w:ascii="仿宋_GB2312" w:hAnsi="仿宋" w:cs="宋体" w:hint="eastAsia"/>
          <w:kern w:val="0"/>
          <w:szCs w:val="32"/>
        </w:rPr>
        <w:t>按照缴入县级国库的商业和普通住宅用地土地出让金收入扣除27%的计提项目和每亩10.5万元的失地农民保障资金后，龙港镇实行县与乡镇</w:t>
      </w:r>
      <w:r w:rsidRPr="001061C4">
        <w:rPr>
          <w:rFonts w:ascii="仿宋_GB2312" w:hAnsi="仿宋" w:cs="宋体" w:hint="eastAsia"/>
          <w:szCs w:val="32"/>
        </w:rPr>
        <w:t>全部按</w:t>
      </w:r>
      <w:r w:rsidRPr="001061C4">
        <w:rPr>
          <w:rFonts w:ascii="仿宋_GB2312" w:hAnsi="仿宋" w:cs="宋体" w:hint="eastAsia"/>
          <w:kern w:val="0"/>
          <w:szCs w:val="32"/>
        </w:rPr>
        <w:t>13：87分成，其他乡镇实行县与乡镇</w:t>
      </w:r>
      <w:r w:rsidRPr="001061C4">
        <w:rPr>
          <w:rFonts w:ascii="仿宋_GB2312" w:hAnsi="仿宋" w:cs="宋体" w:hint="eastAsia"/>
          <w:szCs w:val="32"/>
        </w:rPr>
        <w:t>全部按</w:t>
      </w:r>
      <w:r w:rsidRPr="001061C4">
        <w:rPr>
          <w:rFonts w:ascii="仿宋_GB2312" w:hAnsi="仿宋" w:cs="宋体" w:hint="eastAsia"/>
          <w:kern w:val="0"/>
          <w:szCs w:val="32"/>
        </w:rPr>
        <w:t>20：80分成，乡镇奖励超过计划</w:t>
      </w:r>
      <w:r w:rsidRPr="001061C4">
        <w:rPr>
          <w:rFonts w:ascii="仿宋_GB2312" w:hAnsi="仿宋" w:cs="宋体" w:hint="eastAsia"/>
          <w:szCs w:val="32"/>
          <w:lang w:val="zh-CN"/>
        </w:rPr>
        <w:t>任务数的增量</w:t>
      </w:r>
      <w:r w:rsidRPr="001061C4">
        <w:rPr>
          <w:rFonts w:ascii="仿宋_GB2312" w:hAnsi="仿宋" w:cs="宋体" w:hint="eastAsia"/>
          <w:kern w:val="0"/>
          <w:szCs w:val="32"/>
        </w:rPr>
        <w:t>部分的8%。</w:t>
      </w:r>
    </w:p>
    <w:p w:rsidR="000354AD" w:rsidRPr="006A3D01" w:rsidRDefault="000354AD" w:rsidP="000354AD">
      <w:pPr>
        <w:spacing w:line="600" w:lineRule="exact"/>
        <w:ind w:firstLineChars="200" w:firstLine="636"/>
        <w:rPr>
          <w:rFonts w:ascii="仿宋_GB2312" w:hAnsi="仿宋" w:cs="宋体"/>
          <w:kern w:val="0"/>
          <w:szCs w:val="32"/>
        </w:rPr>
      </w:pPr>
      <w:r w:rsidRPr="006A3D01">
        <w:rPr>
          <w:rFonts w:ascii="仿宋_GB2312" w:hAnsi="仿宋" w:cs="宋体" w:hint="eastAsia"/>
          <w:szCs w:val="32"/>
          <w:lang w:val="zh-CN"/>
        </w:rPr>
        <w:t>3.当年乡镇的</w:t>
      </w:r>
      <w:r w:rsidRPr="006A3D01">
        <w:rPr>
          <w:rFonts w:ascii="仿宋_GB2312" w:hAnsi="仿宋" w:cs="宋体" w:hint="eastAsia"/>
          <w:kern w:val="0"/>
          <w:szCs w:val="32"/>
        </w:rPr>
        <w:t>商业和普通住宅用地</w:t>
      </w:r>
      <w:r w:rsidRPr="006A3D01">
        <w:rPr>
          <w:rFonts w:ascii="仿宋_GB2312" w:hAnsi="仿宋" w:cs="宋体" w:hint="eastAsia"/>
          <w:szCs w:val="32"/>
          <w:lang w:val="zh-CN"/>
        </w:rPr>
        <w:t>项目出让无计划任务数的，</w:t>
      </w:r>
      <w:r w:rsidRPr="006A3D01">
        <w:rPr>
          <w:rFonts w:ascii="仿宋_GB2312" w:hAnsi="仿宋" w:cs="宋体" w:hint="eastAsia"/>
          <w:kern w:val="0"/>
          <w:szCs w:val="32"/>
        </w:rPr>
        <w:t>按照缴入县级国库的商业和普通住宅用地土地出让金收入扣除27%的计提项目和每亩10.5万元的失地农民保障资金后，龙港镇实行县与乡镇</w:t>
      </w:r>
      <w:r w:rsidRPr="006A3D01">
        <w:rPr>
          <w:rFonts w:ascii="仿宋_GB2312" w:hAnsi="仿宋" w:cs="宋体" w:hint="eastAsia"/>
          <w:szCs w:val="32"/>
        </w:rPr>
        <w:t>全部按</w:t>
      </w:r>
      <w:r w:rsidRPr="006A3D01">
        <w:rPr>
          <w:rFonts w:ascii="仿宋_GB2312" w:hAnsi="仿宋" w:cs="宋体" w:hint="eastAsia"/>
          <w:kern w:val="0"/>
          <w:szCs w:val="32"/>
        </w:rPr>
        <w:t>13：87分成，其他乡镇实行县与乡镇</w:t>
      </w:r>
      <w:r w:rsidRPr="006A3D01">
        <w:rPr>
          <w:rFonts w:ascii="仿宋_GB2312" w:hAnsi="仿宋" w:cs="宋体" w:hint="eastAsia"/>
          <w:szCs w:val="32"/>
        </w:rPr>
        <w:t>全部按</w:t>
      </w:r>
      <w:r w:rsidRPr="006A3D01">
        <w:rPr>
          <w:rFonts w:ascii="仿宋_GB2312" w:hAnsi="仿宋" w:cs="宋体" w:hint="eastAsia"/>
          <w:kern w:val="0"/>
          <w:szCs w:val="32"/>
        </w:rPr>
        <w:t>20：80分成。</w:t>
      </w:r>
    </w:p>
    <w:p w:rsidR="000354AD" w:rsidRPr="000354AD" w:rsidRDefault="000354AD" w:rsidP="000354AD">
      <w:pPr>
        <w:ind w:firstLineChars="200" w:firstLine="636"/>
        <w:rPr>
          <w:rFonts w:ascii="黑体" w:eastAsia="黑体" w:hAnsi="黑体"/>
        </w:rPr>
      </w:pPr>
      <w:r w:rsidRPr="000354AD">
        <w:rPr>
          <w:rFonts w:ascii="黑体" w:eastAsia="黑体" w:hAnsi="黑体" w:hint="eastAsia"/>
        </w:rPr>
        <w:t>二、储备土地土地出让金收入分成</w:t>
      </w:r>
    </w:p>
    <w:p w:rsidR="000354AD" w:rsidRDefault="000354AD" w:rsidP="000354AD">
      <w:pPr>
        <w:ind w:firstLineChars="200" w:firstLine="636"/>
        <w:rPr>
          <w:rFonts w:ascii="仿宋_GB2312" w:hAnsi="仿宋"/>
        </w:rPr>
      </w:pPr>
      <w:r w:rsidRPr="006A3D01">
        <w:rPr>
          <w:rFonts w:ascii="仿宋_GB2312" w:hAnsi="仿宋" w:hint="eastAsia"/>
        </w:rPr>
        <w:t>储备土地按照增值部分实行县与乡镇50：50分成。增值部分是指按照缴入县级国库的储备用地出让金收入扣除6%的储备</w:t>
      </w:r>
      <w:r w:rsidRPr="006A3D01">
        <w:rPr>
          <w:rFonts w:ascii="仿宋_GB2312" w:hAnsi="仿宋" w:hint="eastAsia"/>
        </w:rPr>
        <w:lastRenderedPageBreak/>
        <w:t>提成、19%的计提项目、收购价格和县政府就土地储备出让事项给</w:t>
      </w:r>
    </w:p>
    <w:p w:rsidR="000354AD" w:rsidRPr="006A3D01" w:rsidRDefault="000354AD" w:rsidP="000354AD">
      <w:pPr>
        <w:rPr>
          <w:rFonts w:ascii="仿宋_GB2312" w:hAnsi="仿宋"/>
        </w:rPr>
      </w:pPr>
      <w:proofErr w:type="gramStart"/>
      <w:r w:rsidRPr="006A3D01">
        <w:rPr>
          <w:rFonts w:ascii="仿宋_GB2312" w:hAnsi="仿宋" w:hint="eastAsia"/>
        </w:rPr>
        <w:t>予土地</w:t>
      </w:r>
      <w:proofErr w:type="gramEnd"/>
      <w:r w:rsidRPr="006A3D01">
        <w:rPr>
          <w:rFonts w:ascii="仿宋_GB2312" w:hAnsi="仿宋" w:hint="eastAsia"/>
        </w:rPr>
        <w:t>原业主对应的财政补助政策后的剩余部分。</w:t>
      </w:r>
    </w:p>
    <w:p w:rsidR="000354AD" w:rsidRPr="000354AD" w:rsidRDefault="000354AD" w:rsidP="000354AD">
      <w:pPr>
        <w:ind w:firstLineChars="200" w:firstLine="636"/>
        <w:rPr>
          <w:rFonts w:ascii="黑体" w:eastAsia="黑体" w:hAnsi="黑体"/>
        </w:rPr>
      </w:pPr>
      <w:r w:rsidRPr="000354AD">
        <w:rPr>
          <w:rFonts w:ascii="黑体" w:eastAsia="黑体" w:hAnsi="黑体" w:hint="eastAsia"/>
        </w:rPr>
        <w:t>三、村级安置留地土地出让金收入分成</w:t>
      </w:r>
    </w:p>
    <w:p w:rsidR="000354AD" w:rsidRPr="006A3D01" w:rsidRDefault="000354AD" w:rsidP="000354AD">
      <w:pPr>
        <w:widowControl/>
        <w:shd w:val="clear" w:color="auto" w:fill="FFFFFF"/>
        <w:spacing w:line="500" w:lineRule="atLeast"/>
        <w:ind w:firstLineChars="230" w:firstLine="731"/>
        <w:jc w:val="left"/>
        <w:rPr>
          <w:rFonts w:ascii="仿宋_GB2312" w:hAnsi="仿宋" w:cs="宋体"/>
          <w:szCs w:val="32"/>
        </w:rPr>
      </w:pPr>
      <w:r w:rsidRPr="006A3D01">
        <w:rPr>
          <w:rFonts w:ascii="仿宋_GB2312" w:hAnsi="仿宋" w:cs="宋体" w:hint="eastAsia"/>
          <w:szCs w:val="32"/>
        </w:rPr>
        <w:t>按有关规定执行。</w:t>
      </w:r>
    </w:p>
    <w:p w:rsidR="000354AD" w:rsidRPr="006A3D01" w:rsidRDefault="000354AD" w:rsidP="000354AD">
      <w:pPr>
        <w:widowControl/>
        <w:shd w:val="clear" w:color="auto" w:fill="FFFFFF"/>
        <w:spacing w:line="500" w:lineRule="atLeast"/>
        <w:ind w:firstLineChars="230" w:firstLine="731"/>
        <w:jc w:val="left"/>
        <w:rPr>
          <w:rFonts w:ascii="黑体" w:eastAsia="黑体" w:hAnsi="黑体" w:cs="宋体"/>
          <w:szCs w:val="32"/>
        </w:rPr>
      </w:pPr>
      <w:r w:rsidRPr="006A3D01">
        <w:rPr>
          <w:rFonts w:ascii="黑体" w:eastAsia="黑体" w:hAnsi="黑体" w:cs="宋体" w:hint="eastAsia"/>
          <w:szCs w:val="32"/>
        </w:rPr>
        <w:t>四、县城新区管委会、工业园区管委会、龙港新城管委会等自求平衡区域的土地出让金收入分成</w:t>
      </w:r>
    </w:p>
    <w:p w:rsidR="000354AD" w:rsidRPr="006A3D01" w:rsidRDefault="000354AD" w:rsidP="000354AD">
      <w:pPr>
        <w:widowControl/>
        <w:shd w:val="clear" w:color="auto" w:fill="FFFFFF"/>
        <w:spacing w:line="500" w:lineRule="atLeast"/>
        <w:ind w:firstLineChars="200" w:firstLine="636"/>
        <w:jc w:val="left"/>
        <w:rPr>
          <w:rFonts w:ascii="仿宋_GB2312" w:hAnsi="仿宋" w:cs="宋体"/>
          <w:kern w:val="0"/>
          <w:szCs w:val="32"/>
        </w:rPr>
      </w:pPr>
      <w:r w:rsidRPr="006A3D01">
        <w:rPr>
          <w:rFonts w:ascii="仿宋_GB2312" w:hAnsi="仿宋" w:cs="宋体" w:hint="eastAsia"/>
          <w:kern w:val="0"/>
          <w:szCs w:val="32"/>
        </w:rPr>
        <w:t>（一）工业用地</w:t>
      </w:r>
      <w:r w:rsidRPr="006A3D01">
        <w:rPr>
          <w:rFonts w:ascii="仿宋_GB2312" w:hAnsi="仿宋" w:cs="宋体" w:hint="eastAsia"/>
          <w:szCs w:val="32"/>
        </w:rPr>
        <w:t>分成办法比照本通知第一点（一）执行。</w:t>
      </w:r>
    </w:p>
    <w:p w:rsidR="000354AD" w:rsidRPr="006A3D01" w:rsidRDefault="000354AD" w:rsidP="000354AD">
      <w:pPr>
        <w:spacing w:line="600" w:lineRule="exact"/>
        <w:ind w:firstLineChars="200" w:firstLine="636"/>
        <w:rPr>
          <w:rFonts w:ascii="仿宋_GB2312" w:hAnsi="仿宋" w:cs="宋体"/>
          <w:kern w:val="0"/>
          <w:szCs w:val="32"/>
        </w:rPr>
      </w:pPr>
      <w:r w:rsidRPr="006A3D01">
        <w:rPr>
          <w:rFonts w:ascii="仿宋_GB2312" w:hAnsi="仿宋" w:cs="宋体" w:hint="eastAsia"/>
          <w:kern w:val="0"/>
          <w:szCs w:val="32"/>
        </w:rPr>
        <w:t>（二）商业和普通住宅用地土地出让金收入分成。</w:t>
      </w:r>
    </w:p>
    <w:p w:rsidR="000354AD" w:rsidRPr="006A3D01" w:rsidRDefault="000354AD" w:rsidP="000354AD">
      <w:pPr>
        <w:spacing w:line="600" w:lineRule="exact"/>
        <w:ind w:firstLineChars="200" w:firstLine="636"/>
        <w:rPr>
          <w:rFonts w:ascii="仿宋_GB2312" w:hAnsi="仿宋" w:cs="宋体"/>
          <w:kern w:val="0"/>
          <w:szCs w:val="32"/>
        </w:rPr>
      </w:pPr>
      <w:r w:rsidRPr="006A3D01">
        <w:rPr>
          <w:rFonts w:ascii="仿宋_GB2312" w:hAnsi="仿宋" w:cs="宋体" w:hint="eastAsia"/>
          <w:szCs w:val="32"/>
          <w:lang w:val="zh-CN"/>
        </w:rPr>
        <w:t>县政府召集县国土资源局、县财政局等相关部门制定各管委会商住用地项目土地出让金收入计划任务数。</w:t>
      </w:r>
    </w:p>
    <w:p w:rsidR="000354AD" w:rsidRPr="006A3D01" w:rsidRDefault="000354AD" w:rsidP="000354AD">
      <w:pPr>
        <w:spacing w:line="600" w:lineRule="exact"/>
        <w:ind w:firstLineChars="200" w:firstLine="636"/>
        <w:rPr>
          <w:rFonts w:ascii="仿宋_GB2312" w:hAnsi="仿宋" w:cs="宋体"/>
          <w:szCs w:val="32"/>
        </w:rPr>
      </w:pPr>
      <w:r w:rsidRPr="006A3D01">
        <w:rPr>
          <w:rFonts w:ascii="仿宋_GB2312" w:hAnsi="仿宋" w:cs="宋体" w:hint="eastAsia"/>
          <w:kern w:val="0"/>
          <w:szCs w:val="32"/>
        </w:rPr>
        <w:t>1.按照缴入县级国库的商业和普通住宅用地土地出让金收入扣除27%的计提项目和每亩10.5万元的失地农民保障资金后，</w:t>
      </w:r>
      <w:r w:rsidRPr="006A3D01">
        <w:rPr>
          <w:rFonts w:ascii="仿宋_GB2312" w:hAnsi="仿宋" w:cs="宋体" w:hint="eastAsia"/>
          <w:szCs w:val="32"/>
        </w:rPr>
        <w:t>平时按以下比例分成：工业园区管委会按县、管委会及对应的乡镇35：62：3分成</w:t>
      </w:r>
      <w:r w:rsidRPr="006A3D01">
        <w:rPr>
          <w:rFonts w:ascii="仿宋_GB2312" w:hAnsi="仿宋" w:cs="宋体" w:hint="eastAsia"/>
          <w:szCs w:val="32"/>
          <w:lang w:val="zh-CN"/>
        </w:rPr>
        <w:t>；</w:t>
      </w:r>
      <w:r w:rsidRPr="006A3D01">
        <w:rPr>
          <w:rFonts w:ascii="仿宋_GB2312" w:hAnsi="仿宋" w:cs="宋体" w:hint="eastAsia"/>
          <w:szCs w:val="32"/>
        </w:rPr>
        <w:t>县城新区管委会、龙港新城管委会（除围垦区外）按县、管委会及对应的乡镇40：55：5分成；龙港新城管委会围垦区按县、管委会及对应的乡镇45：52：3分成</w:t>
      </w:r>
      <w:r w:rsidRPr="006A3D01">
        <w:rPr>
          <w:rFonts w:ascii="仿宋_GB2312" w:hAnsi="仿宋" w:cs="宋体" w:hint="eastAsia"/>
          <w:szCs w:val="32"/>
          <w:lang w:val="zh-CN"/>
        </w:rPr>
        <w:t>。</w:t>
      </w:r>
    </w:p>
    <w:p w:rsidR="000354AD" w:rsidRPr="006A3D01" w:rsidRDefault="000354AD" w:rsidP="000354AD">
      <w:pPr>
        <w:spacing w:line="600" w:lineRule="exact"/>
        <w:ind w:firstLineChars="200" w:firstLine="636"/>
        <w:rPr>
          <w:rFonts w:ascii="仿宋_GB2312" w:hAnsi="仿宋" w:cs="宋体"/>
          <w:szCs w:val="32"/>
        </w:rPr>
      </w:pPr>
      <w:r w:rsidRPr="006A3D01">
        <w:rPr>
          <w:rFonts w:ascii="仿宋_GB2312" w:hAnsi="仿宋" w:cs="宋体" w:hint="eastAsia"/>
          <w:szCs w:val="32"/>
          <w:lang w:val="zh-CN"/>
        </w:rPr>
        <w:t>2.结合当年县政府制定的</w:t>
      </w:r>
      <w:r w:rsidRPr="006A3D01">
        <w:rPr>
          <w:rFonts w:ascii="仿宋_GB2312" w:hAnsi="仿宋" w:cs="宋体" w:hint="eastAsia"/>
          <w:szCs w:val="32"/>
        </w:rPr>
        <w:t>管委会</w:t>
      </w:r>
      <w:r w:rsidRPr="006A3D01">
        <w:rPr>
          <w:rFonts w:ascii="仿宋_GB2312" w:hAnsi="仿宋" w:cs="宋体" w:hint="eastAsia"/>
          <w:szCs w:val="32"/>
          <w:lang w:val="zh-CN"/>
        </w:rPr>
        <w:t>商住用地项目出让计划任务数，进行年终结算：当年完成率</w:t>
      </w:r>
      <w:r w:rsidRPr="006A3D01">
        <w:rPr>
          <w:rFonts w:ascii="仿宋_GB2312" w:hAnsi="仿宋" w:cs="宋体" w:hint="eastAsia"/>
          <w:szCs w:val="32"/>
        </w:rPr>
        <w:t>低于100%（不含）的，按第四点（二）第1小点的平时</w:t>
      </w:r>
      <w:r w:rsidRPr="006A3D01">
        <w:rPr>
          <w:rFonts w:ascii="仿宋_GB2312" w:hAnsi="仿宋" w:cs="宋体" w:hint="eastAsia"/>
          <w:kern w:val="0"/>
          <w:szCs w:val="32"/>
        </w:rPr>
        <w:t>分成数进行结算。</w:t>
      </w:r>
      <w:r w:rsidRPr="006A3D01">
        <w:rPr>
          <w:rFonts w:ascii="仿宋_GB2312" w:hAnsi="仿宋" w:cs="宋体" w:hint="eastAsia"/>
          <w:szCs w:val="32"/>
          <w:lang w:val="zh-CN"/>
        </w:rPr>
        <w:t>当年完成率</w:t>
      </w:r>
      <w:r w:rsidRPr="006A3D01">
        <w:rPr>
          <w:rFonts w:ascii="仿宋_GB2312" w:hAnsi="仿宋" w:cs="宋体" w:hint="eastAsia"/>
          <w:szCs w:val="32"/>
        </w:rPr>
        <w:t>高于100%（含）的，</w:t>
      </w:r>
      <w:r w:rsidRPr="006A3D01">
        <w:rPr>
          <w:rFonts w:ascii="仿宋_GB2312" w:hAnsi="仿宋" w:cs="宋体" w:hint="eastAsia"/>
          <w:kern w:val="0"/>
          <w:szCs w:val="32"/>
        </w:rPr>
        <w:t>按照缴入县级国库的商业和普通住宅用地土地出让金收入扣除27%的计提项目和每亩10.5万元的失地农民保障资金后，</w:t>
      </w:r>
      <w:r w:rsidRPr="006A3D01">
        <w:rPr>
          <w:rFonts w:ascii="仿宋_GB2312" w:hAnsi="仿宋" w:cs="宋体" w:hint="eastAsia"/>
          <w:szCs w:val="32"/>
        </w:rPr>
        <w:t>工业园区管委会实行县、管委会及对应的乡镇25：70：5分成</w:t>
      </w:r>
      <w:r w:rsidRPr="006A3D01">
        <w:rPr>
          <w:rFonts w:ascii="仿宋_GB2312" w:hAnsi="仿宋" w:cs="宋体" w:hint="eastAsia"/>
          <w:szCs w:val="32"/>
          <w:lang w:val="zh-CN"/>
        </w:rPr>
        <w:t>；</w:t>
      </w:r>
      <w:r w:rsidRPr="006A3D01">
        <w:rPr>
          <w:rFonts w:ascii="仿宋_GB2312" w:hAnsi="仿宋" w:cs="宋体" w:hint="eastAsia"/>
          <w:szCs w:val="32"/>
        </w:rPr>
        <w:t>县城新区管委会、龙港新城管委会（除围垦区外）实行县、管委</w:t>
      </w:r>
      <w:r w:rsidRPr="006A3D01">
        <w:rPr>
          <w:rFonts w:ascii="仿宋_GB2312" w:hAnsi="仿宋" w:cs="宋体" w:hint="eastAsia"/>
          <w:szCs w:val="32"/>
        </w:rPr>
        <w:lastRenderedPageBreak/>
        <w:t>会及对应的乡镇30：62：8分成，龙港新城管委会围垦区实行县、管委会及对应的乡镇35：60：5分成；管委会和</w:t>
      </w:r>
      <w:r w:rsidRPr="006A3D01">
        <w:rPr>
          <w:rFonts w:ascii="仿宋_GB2312" w:hAnsi="仿宋" w:cs="宋体" w:hint="eastAsia"/>
          <w:kern w:val="0"/>
          <w:szCs w:val="32"/>
        </w:rPr>
        <w:t>乡镇共奖励超过计划</w:t>
      </w:r>
      <w:r w:rsidRPr="006A3D01">
        <w:rPr>
          <w:rFonts w:ascii="仿宋_GB2312" w:hAnsi="仿宋" w:cs="宋体" w:hint="eastAsia"/>
          <w:szCs w:val="32"/>
          <w:lang w:val="zh-CN"/>
        </w:rPr>
        <w:t>任务数的增量</w:t>
      </w:r>
      <w:r w:rsidRPr="006A3D01">
        <w:rPr>
          <w:rFonts w:ascii="仿宋_GB2312" w:hAnsi="仿宋" w:cs="宋体" w:hint="eastAsia"/>
          <w:kern w:val="0"/>
          <w:szCs w:val="32"/>
        </w:rPr>
        <w:t>部分的5%，其中</w:t>
      </w:r>
      <w:r w:rsidRPr="006A3D01">
        <w:rPr>
          <w:rFonts w:ascii="仿宋_GB2312" w:hAnsi="仿宋" w:cs="宋体" w:hint="eastAsia"/>
          <w:szCs w:val="32"/>
        </w:rPr>
        <w:t>管委会和</w:t>
      </w:r>
      <w:r w:rsidRPr="006A3D01">
        <w:rPr>
          <w:rFonts w:ascii="仿宋_GB2312" w:hAnsi="仿宋" w:cs="宋体" w:hint="eastAsia"/>
          <w:kern w:val="0"/>
          <w:szCs w:val="32"/>
        </w:rPr>
        <w:t>乡镇按完成计划</w:t>
      </w:r>
      <w:r w:rsidRPr="006A3D01">
        <w:rPr>
          <w:rFonts w:ascii="仿宋_GB2312" w:hAnsi="仿宋" w:cs="宋体" w:hint="eastAsia"/>
          <w:szCs w:val="32"/>
          <w:lang w:val="zh-CN"/>
        </w:rPr>
        <w:t>任务数</w:t>
      </w:r>
      <w:r w:rsidRPr="006A3D01">
        <w:rPr>
          <w:rFonts w:ascii="仿宋_GB2312" w:hAnsi="仿宋" w:cs="宋体" w:hint="eastAsia"/>
          <w:kern w:val="0"/>
          <w:szCs w:val="32"/>
        </w:rPr>
        <w:t>的分成比例计算分享该5%的奖励。</w:t>
      </w:r>
    </w:p>
    <w:p w:rsidR="000354AD" w:rsidRPr="006A3D01" w:rsidRDefault="000354AD" w:rsidP="000354AD">
      <w:pPr>
        <w:spacing w:line="600" w:lineRule="exact"/>
        <w:ind w:firstLineChars="200" w:firstLine="636"/>
        <w:rPr>
          <w:rFonts w:ascii="仿宋_GB2312" w:hAnsi="仿宋" w:cs="宋体"/>
          <w:szCs w:val="32"/>
        </w:rPr>
      </w:pPr>
      <w:r w:rsidRPr="006A3D01">
        <w:rPr>
          <w:rFonts w:ascii="仿宋_GB2312" w:hAnsi="仿宋" w:cs="宋体" w:hint="eastAsia"/>
          <w:szCs w:val="32"/>
        </w:rPr>
        <w:t>3.</w:t>
      </w:r>
      <w:r w:rsidRPr="006A3D01">
        <w:rPr>
          <w:rFonts w:ascii="仿宋_GB2312" w:hAnsi="仿宋" w:cs="宋体" w:hint="eastAsia"/>
          <w:szCs w:val="32"/>
          <w:lang w:val="zh-CN"/>
        </w:rPr>
        <w:t>当年</w:t>
      </w:r>
      <w:r w:rsidRPr="006A3D01">
        <w:rPr>
          <w:rFonts w:ascii="仿宋_GB2312" w:hAnsi="仿宋" w:cs="宋体" w:hint="eastAsia"/>
          <w:szCs w:val="32"/>
        </w:rPr>
        <w:t>管委会</w:t>
      </w:r>
      <w:r w:rsidRPr="006A3D01">
        <w:rPr>
          <w:rFonts w:ascii="仿宋_GB2312" w:hAnsi="仿宋" w:cs="宋体" w:hint="eastAsia"/>
          <w:szCs w:val="32"/>
          <w:lang w:val="zh-CN"/>
        </w:rPr>
        <w:t>的</w:t>
      </w:r>
      <w:r w:rsidRPr="006A3D01">
        <w:rPr>
          <w:rFonts w:ascii="仿宋_GB2312" w:hAnsi="仿宋" w:cs="宋体" w:hint="eastAsia"/>
          <w:kern w:val="0"/>
          <w:szCs w:val="32"/>
        </w:rPr>
        <w:t>商业和普通住宅用地</w:t>
      </w:r>
      <w:r w:rsidRPr="006A3D01">
        <w:rPr>
          <w:rFonts w:ascii="仿宋_GB2312" w:hAnsi="仿宋" w:cs="宋体" w:hint="eastAsia"/>
          <w:szCs w:val="32"/>
          <w:lang w:val="zh-CN"/>
        </w:rPr>
        <w:t>项目出让无计划任务数的，</w:t>
      </w:r>
      <w:r w:rsidRPr="006A3D01">
        <w:rPr>
          <w:rFonts w:ascii="仿宋_GB2312" w:hAnsi="仿宋" w:cs="宋体" w:hint="eastAsia"/>
          <w:kern w:val="0"/>
          <w:szCs w:val="32"/>
        </w:rPr>
        <w:t>按照缴入县级国库的商业和普通住宅用地土地出让金收入扣除27%的计提项目和每亩10.5万元的失地农民保障资金后，</w:t>
      </w:r>
      <w:r w:rsidRPr="006A3D01">
        <w:rPr>
          <w:rFonts w:ascii="仿宋_GB2312" w:hAnsi="仿宋" w:cs="宋体" w:hint="eastAsia"/>
          <w:szCs w:val="32"/>
        </w:rPr>
        <w:t>工业园区管委会实行县、管委会及对应的乡镇25：70：5分成</w:t>
      </w:r>
      <w:r w:rsidRPr="006A3D01">
        <w:rPr>
          <w:rFonts w:ascii="仿宋_GB2312" w:hAnsi="仿宋" w:cs="宋体" w:hint="eastAsia"/>
          <w:szCs w:val="32"/>
          <w:lang w:val="zh-CN"/>
        </w:rPr>
        <w:t>；</w:t>
      </w:r>
      <w:r w:rsidRPr="006A3D01">
        <w:rPr>
          <w:rFonts w:ascii="仿宋_GB2312" w:hAnsi="仿宋" w:cs="宋体" w:hint="eastAsia"/>
          <w:szCs w:val="32"/>
        </w:rPr>
        <w:t>县城新区管委会、龙港新城管委会（除围垦区外）实行县、管委会及对应的乡镇30：62：8分成；龙港新城管委会围垦区实行县、管委会及对应的乡镇35：60：5分成。</w:t>
      </w:r>
    </w:p>
    <w:p w:rsidR="000354AD" w:rsidRPr="006A3D01" w:rsidRDefault="000354AD" w:rsidP="000354AD">
      <w:pPr>
        <w:widowControl/>
        <w:shd w:val="clear" w:color="auto" w:fill="FFFFFF"/>
        <w:spacing w:line="500" w:lineRule="atLeast"/>
        <w:ind w:firstLineChars="200" w:firstLine="636"/>
        <w:jc w:val="left"/>
        <w:rPr>
          <w:rFonts w:ascii="黑体" w:eastAsia="黑体" w:hAnsi="黑体" w:cs="宋体"/>
          <w:szCs w:val="32"/>
        </w:rPr>
      </w:pPr>
      <w:r w:rsidRPr="006A3D01">
        <w:rPr>
          <w:rFonts w:ascii="黑体" w:eastAsia="黑体" w:hAnsi="黑体" w:cs="宋体" w:hint="eastAsia"/>
          <w:szCs w:val="32"/>
        </w:rPr>
        <w:t>五、其他土地出让金收入分成</w:t>
      </w:r>
    </w:p>
    <w:p w:rsidR="000354AD" w:rsidRPr="006A3D01" w:rsidRDefault="000354AD" w:rsidP="000354AD">
      <w:pPr>
        <w:spacing w:line="600" w:lineRule="exact"/>
        <w:ind w:firstLineChars="200" w:firstLine="636"/>
        <w:rPr>
          <w:rFonts w:ascii="仿宋_GB2312" w:hAnsi="仿宋" w:cs="宋体"/>
          <w:kern w:val="0"/>
          <w:szCs w:val="32"/>
        </w:rPr>
      </w:pPr>
      <w:r w:rsidRPr="006A3D01">
        <w:rPr>
          <w:rFonts w:ascii="仿宋_GB2312" w:hAnsi="仿宋" w:cs="宋体" w:hint="eastAsia"/>
          <w:kern w:val="0"/>
          <w:szCs w:val="32"/>
        </w:rPr>
        <w:t>（一）对其他补缴的零星土地出让金收入，由县财政统筹，不实行县乡分成。</w:t>
      </w:r>
      <w:r w:rsidRPr="006A3D01">
        <w:rPr>
          <w:rFonts w:ascii="仿宋_GB2312" w:hAnsi="仿宋" w:cs="宋体" w:hint="eastAsia"/>
          <w:szCs w:val="32"/>
        </w:rPr>
        <w:t>旧城改造项目收入按县政府相关规定执行。</w:t>
      </w:r>
    </w:p>
    <w:p w:rsidR="000354AD" w:rsidRPr="006A3D01" w:rsidRDefault="000354AD" w:rsidP="000354AD">
      <w:pPr>
        <w:spacing w:line="600" w:lineRule="exact"/>
        <w:ind w:firstLineChars="200" w:firstLine="636"/>
        <w:rPr>
          <w:rFonts w:ascii="仿宋_GB2312" w:hAnsi="仿宋" w:cs="宋体"/>
          <w:kern w:val="0"/>
          <w:szCs w:val="32"/>
        </w:rPr>
      </w:pPr>
      <w:r w:rsidRPr="006A3D01">
        <w:rPr>
          <w:rFonts w:ascii="仿宋_GB2312" w:hAnsi="仿宋" w:cs="宋体" w:hint="eastAsia"/>
          <w:kern w:val="0"/>
          <w:szCs w:val="32"/>
        </w:rPr>
        <w:t>（二）景区规划范围内出让土地的，土地出让金原则上由县财政局收取，统筹用于全县旅游开发建设。</w:t>
      </w:r>
    </w:p>
    <w:p w:rsidR="000354AD" w:rsidRPr="006A3D01" w:rsidRDefault="000354AD" w:rsidP="000354AD">
      <w:pPr>
        <w:spacing w:line="600" w:lineRule="exact"/>
        <w:ind w:firstLineChars="200" w:firstLine="636"/>
        <w:rPr>
          <w:rFonts w:ascii="仿宋_GB2312" w:hAnsi="仿宋" w:cs="宋体"/>
          <w:kern w:val="0"/>
          <w:szCs w:val="32"/>
        </w:rPr>
      </w:pPr>
      <w:r w:rsidRPr="006A3D01">
        <w:rPr>
          <w:rFonts w:ascii="仿宋_GB2312" w:hAnsi="仿宋" w:cs="宋体" w:hint="eastAsia"/>
          <w:kern w:val="0"/>
          <w:szCs w:val="32"/>
        </w:rPr>
        <w:t>（三）涉及交通、水利、卫生重点建设项目的土地出让金收入和一些特殊或历史遗留地块的土地出让金收入，县政府按“一事一议”方式另行确定。</w:t>
      </w:r>
    </w:p>
    <w:p w:rsidR="000354AD" w:rsidRPr="006A3D01" w:rsidRDefault="000354AD" w:rsidP="000354AD">
      <w:pPr>
        <w:widowControl/>
        <w:shd w:val="clear" w:color="auto" w:fill="FFFFFF"/>
        <w:spacing w:line="500" w:lineRule="atLeast"/>
        <w:ind w:firstLineChars="200" w:firstLine="636"/>
        <w:jc w:val="left"/>
        <w:rPr>
          <w:rFonts w:ascii="黑体" w:eastAsia="黑体" w:hAnsi="黑体" w:cs="宋体"/>
          <w:szCs w:val="32"/>
        </w:rPr>
      </w:pPr>
      <w:r w:rsidRPr="006A3D01">
        <w:rPr>
          <w:rFonts w:ascii="黑体" w:eastAsia="黑体" w:hAnsi="黑体" w:cs="宋体" w:hint="eastAsia"/>
          <w:szCs w:val="32"/>
        </w:rPr>
        <w:t>六、科教、</w:t>
      </w:r>
      <w:proofErr w:type="gramStart"/>
      <w:r w:rsidRPr="006A3D01">
        <w:rPr>
          <w:rFonts w:ascii="黑体" w:eastAsia="黑体" w:hAnsi="黑体" w:cs="宋体" w:hint="eastAsia"/>
          <w:szCs w:val="32"/>
        </w:rPr>
        <w:t>医</w:t>
      </w:r>
      <w:proofErr w:type="gramEnd"/>
      <w:r w:rsidRPr="006A3D01">
        <w:rPr>
          <w:rFonts w:ascii="黑体" w:eastAsia="黑体" w:hAnsi="黑体" w:cs="宋体" w:hint="eastAsia"/>
          <w:szCs w:val="32"/>
        </w:rPr>
        <w:t>卫慈善、文体等公共服务用地土地出让金收入分成</w:t>
      </w:r>
    </w:p>
    <w:p w:rsidR="000354AD" w:rsidRPr="006A3D01" w:rsidRDefault="000354AD" w:rsidP="000354AD">
      <w:pPr>
        <w:spacing w:line="600" w:lineRule="exact"/>
        <w:ind w:firstLineChars="200" w:firstLine="636"/>
        <w:rPr>
          <w:rFonts w:ascii="仿宋_GB2312" w:hAnsi="仿宋" w:cs="宋体"/>
          <w:kern w:val="0"/>
          <w:szCs w:val="32"/>
        </w:rPr>
      </w:pPr>
      <w:r w:rsidRPr="006A3D01">
        <w:rPr>
          <w:rFonts w:ascii="仿宋_GB2312" w:hAnsi="仿宋" w:cs="宋体" w:hint="eastAsia"/>
          <w:kern w:val="0"/>
          <w:szCs w:val="32"/>
        </w:rPr>
        <w:t>对科教、</w:t>
      </w:r>
      <w:proofErr w:type="gramStart"/>
      <w:r w:rsidRPr="006A3D01">
        <w:rPr>
          <w:rFonts w:ascii="仿宋_GB2312" w:hAnsi="仿宋" w:cs="宋体" w:hint="eastAsia"/>
          <w:kern w:val="0"/>
          <w:szCs w:val="32"/>
        </w:rPr>
        <w:t>医</w:t>
      </w:r>
      <w:proofErr w:type="gramEnd"/>
      <w:r w:rsidRPr="006A3D01">
        <w:rPr>
          <w:rFonts w:ascii="仿宋_GB2312" w:hAnsi="仿宋" w:cs="宋体" w:hint="eastAsia"/>
          <w:kern w:val="0"/>
          <w:szCs w:val="32"/>
        </w:rPr>
        <w:t>卫慈善、文体等公共服务用地的出让成交价在同期地段工业用地基准价2倍以内的（含2倍），参照工业用地分</w:t>
      </w:r>
      <w:r w:rsidRPr="006A3D01">
        <w:rPr>
          <w:rFonts w:ascii="仿宋_GB2312" w:hAnsi="仿宋" w:cs="宋体" w:hint="eastAsia"/>
          <w:kern w:val="0"/>
          <w:szCs w:val="32"/>
        </w:rPr>
        <w:lastRenderedPageBreak/>
        <w:t>成办法执行；出让成交价在同期地段工业用地基准价2倍以上的，参照商业和普通住宅用地分成办法执行。</w:t>
      </w:r>
    </w:p>
    <w:p w:rsidR="000354AD" w:rsidRPr="006A3D01" w:rsidRDefault="000354AD" w:rsidP="000354AD">
      <w:pPr>
        <w:widowControl/>
        <w:shd w:val="clear" w:color="auto" w:fill="FFFFFF"/>
        <w:spacing w:line="500" w:lineRule="atLeast"/>
        <w:ind w:firstLineChars="200" w:firstLine="636"/>
        <w:jc w:val="left"/>
        <w:rPr>
          <w:rFonts w:ascii="黑体" w:eastAsia="黑体" w:hAnsi="黑体" w:cs="宋体"/>
          <w:szCs w:val="32"/>
        </w:rPr>
      </w:pPr>
      <w:r w:rsidRPr="006A3D01">
        <w:rPr>
          <w:rFonts w:ascii="黑体" w:eastAsia="黑体" w:hAnsi="黑体" w:cs="宋体" w:hint="eastAsia"/>
          <w:szCs w:val="32"/>
        </w:rPr>
        <w:t>七、执行时间</w:t>
      </w:r>
    </w:p>
    <w:p w:rsidR="000354AD" w:rsidRDefault="000354AD" w:rsidP="000354AD">
      <w:pPr>
        <w:spacing w:line="600" w:lineRule="exact"/>
        <w:ind w:firstLineChars="200" w:firstLine="636"/>
        <w:rPr>
          <w:rFonts w:ascii="仿宋_GB2312" w:hAnsi="仿宋" w:cs="宋体"/>
          <w:kern w:val="0"/>
          <w:szCs w:val="32"/>
        </w:rPr>
      </w:pPr>
      <w:r w:rsidRPr="006A3D01">
        <w:rPr>
          <w:rFonts w:ascii="仿宋_GB2312" w:hAnsi="仿宋" w:cs="宋体" w:hint="eastAsia"/>
          <w:szCs w:val="32"/>
        </w:rPr>
        <w:t>本通知</w:t>
      </w:r>
      <w:r>
        <w:rPr>
          <w:rFonts w:ascii="仿宋_GB2312" w:hAnsi="仿宋" w:cs="宋体" w:hint="eastAsia"/>
          <w:szCs w:val="32"/>
        </w:rPr>
        <w:t>自印发之日施行</w:t>
      </w:r>
      <w:r w:rsidRPr="006A3D01">
        <w:rPr>
          <w:rFonts w:ascii="仿宋_GB2312" w:hAnsi="仿宋" w:cs="宋体" w:hint="eastAsia"/>
          <w:szCs w:val="32"/>
        </w:rPr>
        <w:t>，2018年</w:t>
      </w:r>
      <w:r w:rsidRPr="006A3D01">
        <w:rPr>
          <w:rFonts w:ascii="仿宋_GB2312" w:hAnsi="仿宋" w:cs="宋体" w:hint="eastAsia"/>
          <w:kern w:val="0"/>
          <w:szCs w:val="32"/>
        </w:rPr>
        <w:t>土地出让金分成管理</w:t>
      </w:r>
      <w:r w:rsidRPr="006A3D01">
        <w:rPr>
          <w:rFonts w:ascii="仿宋_GB2312" w:hAnsi="仿宋" w:cs="宋体" w:hint="eastAsia"/>
          <w:szCs w:val="32"/>
        </w:rPr>
        <w:t>按本通知执行</w:t>
      </w:r>
      <w:r w:rsidRPr="006A3D01">
        <w:rPr>
          <w:rFonts w:ascii="仿宋_GB2312" w:hAnsi="仿宋" w:cs="宋体" w:hint="eastAsia"/>
          <w:kern w:val="0"/>
          <w:szCs w:val="32"/>
        </w:rPr>
        <w:t>。土地出让金跨年度缴款的，当年完成任务时间以土地出让金出让合同签订时间为准，待全部款项缴入县级国库后结算。</w:t>
      </w:r>
    </w:p>
    <w:p w:rsidR="000354AD" w:rsidRDefault="000354AD" w:rsidP="000354AD">
      <w:pPr>
        <w:spacing w:line="600" w:lineRule="exact"/>
        <w:ind w:firstLineChars="200" w:firstLine="636"/>
        <w:rPr>
          <w:rFonts w:ascii="仿宋_GB2312" w:hAnsi="仿宋" w:cs="宋体"/>
          <w:kern w:val="0"/>
          <w:szCs w:val="32"/>
        </w:rPr>
      </w:pPr>
    </w:p>
    <w:p w:rsidR="000354AD" w:rsidRPr="006A3D01" w:rsidRDefault="000354AD" w:rsidP="000354AD">
      <w:pPr>
        <w:spacing w:line="600" w:lineRule="exact"/>
        <w:ind w:firstLineChars="200" w:firstLine="636"/>
        <w:rPr>
          <w:rFonts w:ascii="仿宋_GB2312" w:hAnsi="仿宋"/>
          <w:szCs w:val="32"/>
        </w:rPr>
      </w:pPr>
    </w:p>
    <w:p w:rsidR="000354AD" w:rsidRDefault="000354AD" w:rsidP="000354AD">
      <w:pPr>
        <w:jc w:val="left"/>
        <w:rPr>
          <w:rFonts w:ascii="仿宋_GB2312" w:hAnsi="仿宋"/>
          <w:szCs w:val="32"/>
        </w:rPr>
      </w:pPr>
    </w:p>
    <w:p w:rsidR="000354AD" w:rsidRPr="006A3D01" w:rsidRDefault="000354AD" w:rsidP="000354AD">
      <w:pPr>
        <w:jc w:val="left"/>
        <w:rPr>
          <w:rFonts w:ascii="仿宋_GB2312" w:hAnsi="仿宋"/>
          <w:szCs w:val="32"/>
        </w:rPr>
      </w:pPr>
    </w:p>
    <w:p w:rsidR="000354AD" w:rsidRPr="006A3D01" w:rsidRDefault="000354AD" w:rsidP="000354AD">
      <w:pPr>
        <w:ind w:firstLineChars="1698" w:firstLine="5397"/>
        <w:jc w:val="left"/>
        <w:rPr>
          <w:rFonts w:ascii="仿宋_GB2312" w:hAnsi="仿宋"/>
          <w:szCs w:val="32"/>
        </w:rPr>
      </w:pPr>
      <w:r w:rsidRPr="006A3D01">
        <w:rPr>
          <w:rFonts w:ascii="仿宋_GB2312" w:hAnsi="仿宋" w:hint="eastAsia"/>
          <w:szCs w:val="32"/>
        </w:rPr>
        <w:t>苍南县人民政府</w:t>
      </w:r>
    </w:p>
    <w:p w:rsidR="000354AD" w:rsidRPr="006A3D01" w:rsidRDefault="000354AD" w:rsidP="000354AD">
      <w:pPr>
        <w:ind w:firstLineChars="1700" w:firstLine="5404"/>
        <w:jc w:val="left"/>
        <w:rPr>
          <w:rFonts w:ascii="仿宋_GB2312" w:hAnsi="仿宋"/>
          <w:szCs w:val="32"/>
        </w:rPr>
      </w:pPr>
      <w:r w:rsidRPr="006A3D01">
        <w:rPr>
          <w:rFonts w:ascii="仿宋_GB2312" w:hAnsi="仿宋" w:hint="eastAsia"/>
          <w:szCs w:val="32"/>
        </w:rPr>
        <w:t>2018年</w:t>
      </w:r>
      <w:r>
        <w:rPr>
          <w:rFonts w:ascii="仿宋_GB2312" w:hAnsi="仿宋" w:hint="eastAsia"/>
          <w:szCs w:val="32"/>
        </w:rPr>
        <w:t>5</w:t>
      </w:r>
      <w:r w:rsidRPr="006A3D01">
        <w:rPr>
          <w:rFonts w:ascii="仿宋_GB2312" w:hAnsi="仿宋" w:hint="eastAsia"/>
          <w:szCs w:val="32"/>
        </w:rPr>
        <w:t>月</w:t>
      </w:r>
      <w:r>
        <w:rPr>
          <w:rFonts w:ascii="仿宋_GB2312" w:hAnsi="仿宋" w:hint="eastAsia"/>
          <w:szCs w:val="32"/>
        </w:rPr>
        <w:t>18</w:t>
      </w:r>
      <w:r w:rsidRPr="006A3D01">
        <w:rPr>
          <w:rFonts w:ascii="仿宋_GB2312" w:hAnsi="仿宋" w:hint="eastAsia"/>
          <w:szCs w:val="32"/>
        </w:rPr>
        <w:t>日</w:t>
      </w:r>
    </w:p>
    <w:p w:rsidR="000354AD" w:rsidRDefault="000354AD" w:rsidP="000354AD">
      <w:pPr>
        <w:snapToGrid w:val="0"/>
        <w:spacing w:line="596" w:lineRule="exact"/>
        <w:textAlignment w:val="top"/>
        <w:rPr>
          <w:rFonts w:ascii="仿宋_GB2312" w:hAnsi="黑体"/>
          <w:szCs w:val="32"/>
        </w:rPr>
      </w:pPr>
      <w:r w:rsidRPr="006A3D01">
        <w:rPr>
          <w:rFonts w:ascii="仿宋_GB2312" w:hAnsi="黑体" w:hint="eastAsia"/>
          <w:b/>
          <w:szCs w:val="32"/>
        </w:rPr>
        <w:t xml:space="preserve">   </w:t>
      </w:r>
    </w:p>
    <w:p w:rsidR="000354AD" w:rsidRDefault="000354AD" w:rsidP="000354AD">
      <w:pPr>
        <w:snapToGrid w:val="0"/>
        <w:spacing w:line="596" w:lineRule="exact"/>
        <w:textAlignment w:val="top"/>
        <w:rPr>
          <w:rFonts w:ascii="仿宋_GB2312" w:hAnsi="黑体"/>
          <w:szCs w:val="32"/>
        </w:rPr>
      </w:pPr>
    </w:p>
    <w:p w:rsidR="000354AD" w:rsidRPr="001061C4" w:rsidRDefault="000354AD" w:rsidP="000354AD">
      <w:pPr>
        <w:snapToGrid w:val="0"/>
        <w:spacing w:line="596" w:lineRule="exact"/>
        <w:ind w:firstLineChars="200" w:firstLine="636"/>
        <w:textAlignment w:val="top"/>
        <w:rPr>
          <w:rFonts w:ascii="仿宋_GB2312"/>
          <w:szCs w:val="32"/>
        </w:rPr>
      </w:pPr>
      <w:r w:rsidRPr="001061C4">
        <w:rPr>
          <w:rFonts w:ascii="仿宋_GB2312" w:hAnsi="黑体" w:hint="eastAsia"/>
          <w:szCs w:val="32"/>
        </w:rPr>
        <w:t>（</w:t>
      </w:r>
      <w:r w:rsidRPr="006A3D01">
        <w:rPr>
          <w:rFonts w:ascii="仿宋_GB2312" w:hAnsi="黑体" w:hint="eastAsia"/>
          <w:szCs w:val="32"/>
        </w:rPr>
        <w:t>此件公开发布</w:t>
      </w:r>
      <w:r w:rsidRPr="001061C4">
        <w:rPr>
          <w:rFonts w:ascii="仿宋_GB2312" w:hAnsi="黑体" w:hint="eastAsia"/>
          <w:szCs w:val="32"/>
        </w:rPr>
        <w:t>）</w:t>
      </w:r>
    </w:p>
    <w:p w:rsidR="000354AD" w:rsidRPr="006A3D01" w:rsidRDefault="000354AD" w:rsidP="000354AD">
      <w:pPr>
        <w:snapToGrid w:val="0"/>
        <w:spacing w:line="596" w:lineRule="exact"/>
        <w:textAlignment w:val="top"/>
        <w:rPr>
          <w:rFonts w:ascii="仿宋_GB2312"/>
          <w:szCs w:val="32"/>
        </w:rPr>
      </w:pPr>
    </w:p>
    <w:p w:rsidR="000354AD" w:rsidRPr="006A3D01" w:rsidRDefault="000354AD" w:rsidP="000354AD">
      <w:pPr>
        <w:snapToGrid w:val="0"/>
        <w:spacing w:line="596" w:lineRule="exact"/>
        <w:textAlignment w:val="top"/>
        <w:rPr>
          <w:rFonts w:ascii="仿宋_GB2312"/>
          <w:szCs w:val="32"/>
        </w:rPr>
      </w:pPr>
    </w:p>
    <w:p w:rsidR="000354AD" w:rsidRPr="006A3D01" w:rsidRDefault="000354AD" w:rsidP="000354AD">
      <w:pPr>
        <w:snapToGrid w:val="0"/>
        <w:spacing w:line="596" w:lineRule="exact"/>
        <w:textAlignment w:val="top"/>
        <w:rPr>
          <w:rFonts w:ascii="仿宋_GB2312"/>
          <w:szCs w:val="32"/>
        </w:rPr>
      </w:pPr>
    </w:p>
    <w:p w:rsidR="000354AD" w:rsidRPr="006A3D01" w:rsidRDefault="000354AD" w:rsidP="000354AD">
      <w:pPr>
        <w:snapToGrid w:val="0"/>
        <w:spacing w:line="596" w:lineRule="exact"/>
        <w:textAlignment w:val="top"/>
        <w:rPr>
          <w:rFonts w:ascii="仿宋_GB2312"/>
          <w:szCs w:val="32"/>
        </w:rPr>
      </w:pPr>
    </w:p>
    <w:p w:rsidR="000354AD" w:rsidRPr="006A3D01" w:rsidRDefault="000354AD" w:rsidP="000354AD">
      <w:pPr>
        <w:snapToGrid w:val="0"/>
        <w:spacing w:line="596" w:lineRule="exact"/>
        <w:textAlignment w:val="top"/>
        <w:rPr>
          <w:rFonts w:ascii="仿宋_GB2312"/>
          <w:szCs w:val="32"/>
        </w:rPr>
      </w:pPr>
    </w:p>
    <w:p w:rsidR="000354AD" w:rsidRPr="006A3D01" w:rsidRDefault="000354AD" w:rsidP="000354AD">
      <w:pPr>
        <w:snapToGrid w:val="0"/>
        <w:spacing w:line="596" w:lineRule="exact"/>
        <w:textAlignment w:val="top"/>
        <w:rPr>
          <w:rFonts w:ascii="仿宋_GB2312"/>
          <w:szCs w:val="32"/>
        </w:rPr>
      </w:pPr>
    </w:p>
    <w:p w:rsidR="000354AD" w:rsidRPr="006A3D01" w:rsidRDefault="000354AD" w:rsidP="000354AD">
      <w:pPr>
        <w:snapToGrid w:val="0"/>
        <w:spacing w:line="596" w:lineRule="exact"/>
        <w:textAlignment w:val="top"/>
        <w:rPr>
          <w:rFonts w:ascii="仿宋_GB2312"/>
          <w:szCs w:val="32"/>
        </w:rPr>
      </w:pPr>
    </w:p>
    <w:p w:rsidR="000354AD" w:rsidRPr="006A3D01" w:rsidRDefault="000354AD" w:rsidP="000354AD">
      <w:pPr>
        <w:snapToGrid w:val="0"/>
        <w:spacing w:line="596" w:lineRule="exact"/>
        <w:textAlignment w:val="top"/>
        <w:rPr>
          <w:rFonts w:ascii="仿宋_GB2312"/>
          <w:szCs w:val="32"/>
        </w:rPr>
      </w:pPr>
      <w:bookmarkStart w:id="1" w:name="BodyEnd"/>
      <w:bookmarkEnd w:id="1"/>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354AD" w:rsidRDefault="000354AD" w:rsidP="000354AD">
      <w:pPr>
        <w:snapToGrid w:val="0"/>
        <w:spacing w:line="596" w:lineRule="exact"/>
        <w:textAlignment w:val="top"/>
        <w:rPr>
          <w:rFonts w:ascii="仿宋_GB2312"/>
          <w:szCs w:val="32"/>
        </w:rPr>
      </w:pPr>
    </w:p>
    <w:p w:rsidR="000C734B" w:rsidRPr="000354AD" w:rsidRDefault="000354AD" w:rsidP="000354AD">
      <w:pPr>
        <w:pBdr>
          <w:top w:val="single" w:sz="6" w:space="1" w:color="auto"/>
          <w:bottom w:val="single" w:sz="6" w:space="1" w:color="auto"/>
        </w:pBdr>
        <w:snapToGrid w:val="0"/>
        <w:spacing w:line="440" w:lineRule="exact"/>
        <w:textAlignment w:val="top"/>
      </w:pPr>
      <w:r>
        <w:rPr>
          <w:rFonts w:ascii="仿宋_GB2312" w:hint="eastAsia"/>
          <w:szCs w:val="32"/>
        </w:rPr>
        <w:t xml:space="preserve"> </w:t>
      </w:r>
      <w:r w:rsidRPr="00824002">
        <w:rPr>
          <w:rFonts w:ascii="仿宋_GB2312" w:hint="eastAsia"/>
          <w:sz w:val="28"/>
          <w:szCs w:val="28"/>
        </w:rPr>
        <w:t xml:space="preserve"> 苍南县人民政府办公室         </w:t>
      </w:r>
      <w:r>
        <w:rPr>
          <w:rFonts w:ascii="仿宋_GB2312" w:hint="eastAsia"/>
          <w:sz w:val="28"/>
          <w:szCs w:val="28"/>
        </w:rPr>
        <w:t xml:space="preserve">       </w:t>
      </w:r>
      <w:r w:rsidRPr="00824002">
        <w:rPr>
          <w:rFonts w:ascii="仿宋_GB2312" w:hint="eastAsia"/>
          <w:sz w:val="28"/>
          <w:szCs w:val="28"/>
        </w:rPr>
        <w:t xml:space="preserve">    2018年5月18日印发</w:t>
      </w:r>
    </w:p>
    <w:sectPr w:rsidR="000C734B" w:rsidRPr="000354AD" w:rsidSect="00824002">
      <w:headerReference w:type="default" r:id="rId7"/>
      <w:footerReference w:type="even" r:id="rId8"/>
      <w:footerReference w:type="default" r:id="rId9"/>
      <w:footerReference w:type="first" r:id="rId10"/>
      <w:pgSz w:w="11906" w:h="16838" w:code="9"/>
      <w:pgMar w:top="1361" w:right="1418" w:bottom="1134" w:left="1588" w:header="851" w:footer="1134" w:gutter="0"/>
      <w:cols w:space="425"/>
      <w:docGrid w:type="linesAndChars" w:linePitch="596"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5B60">
      <w:r>
        <w:separator/>
      </w:r>
    </w:p>
  </w:endnote>
  <w:endnote w:type="continuationSeparator" w:id="0">
    <w:p w:rsidR="00000000" w:rsidRDefault="00B1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8D" w:rsidRDefault="000354AD" w:rsidP="006929A0">
    <w:pPr>
      <w:pStyle w:val="a4"/>
      <w:framePr w:wrap="around" w:vAnchor="text" w:hAnchor="margin" w:xAlign="outside" w:y="1"/>
      <w:ind w:leftChars="100" w:left="320" w:rightChars="100" w:right="32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Pr>
        <w:rStyle w:val="a5"/>
        <w:rFonts w:ascii="宋体" w:eastAsia="宋体" w:hAnsi="宋体"/>
        <w:noProof/>
        <w:sz w:val="28"/>
      </w:rPr>
      <w:t>6</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26388D" w:rsidRPr="001C40A9" w:rsidRDefault="00B15B60" w:rsidP="001C40A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8D" w:rsidRDefault="000354AD" w:rsidP="006929A0">
    <w:pPr>
      <w:pStyle w:val="a4"/>
      <w:framePr w:wrap="around" w:vAnchor="text" w:hAnchor="margin" w:xAlign="outside" w:y="1"/>
      <w:ind w:leftChars="100" w:left="320" w:rightChars="100" w:right="32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sidR="00B15B60">
      <w:rPr>
        <w:rStyle w:val="a5"/>
        <w:rFonts w:ascii="宋体" w:eastAsia="宋体" w:hAnsi="宋体"/>
        <w:noProof/>
        <w:sz w:val="28"/>
      </w:rPr>
      <w:t>2</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26388D" w:rsidRPr="001C40A9" w:rsidRDefault="00B15B60" w:rsidP="001C40A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02" w:rsidRDefault="000354AD">
    <w:pPr>
      <w:pStyle w:val="a4"/>
      <w:jc w:val="right"/>
    </w:pPr>
    <w:r>
      <w:fldChar w:fldCharType="begin"/>
    </w:r>
    <w:r>
      <w:instrText>PAGE   \* MERGEFORMAT</w:instrText>
    </w:r>
    <w:r>
      <w:fldChar w:fldCharType="separate"/>
    </w:r>
    <w:r w:rsidRPr="00824002">
      <w:rPr>
        <w:noProof/>
        <w:lang w:val="zh-CN"/>
      </w:rPr>
      <w:t>1</w:t>
    </w:r>
    <w:r>
      <w:fldChar w:fldCharType="end"/>
    </w:r>
  </w:p>
  <w:p w:rsidR="00824002" w:rsidRDefault="00B15B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5B60">
      <w:r>
        <w:separator/>
      </w:r>
    </w:p>
  </w:footnote>
  <w:footnote w:type="continuationSeparator" w:id="0">
    <w:p w:rsidR="00000000" w:rsidRDefault="00B15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8D" w:rsidRDefault="00B15B60" w:rsidP="00627F6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FB"/>
    <w:rsid w:val="00004267"/>
    <w:rsid w:val="000354AD"/>
    <w:rsid w:val="000C734B"/>
    <w:rsid w:val="00176A7E"/>
    <w:rsid w:val="002C324E"/>
    <w:rsid w:val="00331035"/>
    <w:rsid w:val="00375DE4"/>
    <w:rsid w:val="004122DB"/>
    <w:rsid w:val="004A7AF5"/>
    <w:rsid w:val="004C5CC7"/>
    <w:rsid w:val="004F4D7D"/>
    <w:rsid w:val="004F6D01"/>
    <w:rsid w:val="00636C56"/>
    <w:rsid w:val="006A046D"/>
    <w:rsid w:val="006F4BA9"/>
    <w:rsid w:val="007D36B9"/>
    <w:rsid w:val="007D3916"/>
    <w:rsid w:val="00802FC6"/>
    <w:rsid w:val="00823EC1"/>
    <w:rsid w:val="008A5D5E"/>
    <w:rsid w:val="00955F64"/>
    <w:rsid w:val="009B7111"/>
    <w:rsid w:val="00A84882"/>
    <w:rsid w:val="00AA2AB1"/>
    <w:rsid w:val="00AE0559"/>
    <w:rsid w:val="00B15B60"/>
    <w:rsid w:val="00B34FA5"/>
    <w:rsid w:val="00BE4D73"/>
    <w:rsid w:val="00CE157C"/>
    <w:rsid w:val="00D826C9"/>
    <w:rsid w:val="00DE79A4"/>
    <w:rsid w:val="00DF536D"/>
    <w:rsid w:val="00E040FB"/>
    <w:rsid w:val="00E04602"/>
    <w:rsid w:val="00E5326F"/>
    <w:rsid w:val="00E84ABD"/>
    <w:rsid w:val="00EF08AB"/>
    <w:rsid w:val="00F5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F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4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40FB"/>
    <w:rPr>
      <w:rFonts w:ascii="Times New Roman" w:eastAsia="仿宋_GB2312" w:hAnsi="Times New Roman" w:cs="Times New Roman"/>
      <w:sz w:val="18"/>
      <w:szCs w:val="18"/>
    </w:rPr>
  </w:style>
  <w:style w:type="paragraph" w:styleId="a4">
    <w:name w:val="footer"/>
    <w:basedOn w:val="a"/>
    <w:link w:val="Char0"/>
    <w:uiPriority w:val="99"/>
    <w:rsid w:val="00E040FB"/>
    <w:pPr>
      <w:tabs>
        <w:tab w:val="center" w:pos="4153"/>
        <w:tab w:val="right" w:pos="8306"/>
      </w:tabs>
      <w:snapToGrid w:val="0"/>
      <w:jc w:val="left"/>
    </w:pPr>
    <w:rPr>
      <w:sz w:val="18"/>
      <w:szCs w:val="18"/>
    </w:rPr>
  </w:style>
  <w:style w:type="character" w:customStyle="1" w:styleId="Char0">
    <w:name w:val="页脚 Char"/>
    <w:basedOn w:val="a0"/>
    <w:link w:val="a4"/>
    <w:uiPriority w:val="99"/>
    <w:rsid w:val="00E040FB"/>
    <w:rPr>
      <w:rFonts w:ascii="Times New Roman" w:eastAsia="仿宋_GB2312" w:hAnsi="Times New Roman" w:cs="Times New Roman"/>
      <w:sz w:val="18"/>
      <w:szCs w:val="18"/>
    </w:rPr>
  </w:style>
  <w:style w:type="character" w:styleId="a5">
    <w:name w:val="page number"/>
    <w:basedOn w:val="a0"/>
    <w:rsid w:val="00E040FB"/>
  </w:style>
  <w:style w:type="paragraph" w:customStyle="1" w:styleId="CharCharCharCharCharCharChar">
    <w:name w:val="Char Char Char Char Char Char Char"/>
    <w:basedOn w:val="a"/>
    <w:rsid w:val="00E040FB"/>
    <w:rPr>
      <w:rFonts w:eastAsia="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F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4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40FB"/>
    <w:rPr>
      <w:rFonts w:ascii="Times New Roman" w:eastAsia="仿宋_GB2312" w:hAnsi="Times New Roman" w:cs="Times New Roman"/>
      <w:sz w:val="18"/>
      <w:szCs w:val="18"/>
    </w:rPr>
  </w:style>
  <w:style w:type="paragraph" w:styleId="a4">
    <w:name w:val="footer"/>
    <w:basedOn w:val="a"/>
    <w:link w:val="Char0"/>
    <w:uiPriority w:val="99"/>
    <w:rsid w:val="00E040FB"/>
    <w:pPr>
      <w:tabs>
        <w:tab w:val="center" w:pos="4153"/>
        <w:tab w:val="right" w:pos="8306"/>
      </w:tabs>
      <w:snapToGrid w:val="0"/>
      <w:jc w:val="left"/>
    </w:pPr>
    <w:rPr>
      <w:sz w:val="18"/>
      <w:szCs w:val="18"/>
    </w:rPr>
  </w:style>
  <w:style w:type="character" w:customStyle="1" w:styleId="Char0">
    <w:name w:val="页脚 Char"/>
    <w:basedOn w:val="a0"/>
    <w:link w:val="a4"/>
    <w:uiPriority w:val="99"/>
    <w:rsid w:val="00E040FB"/>
    <w:rPr>
      <w:rFonts w:ascii="Times New Roman" w:eastAsia="仿宋_GB2312" w:hAnsi="Times New Roman" w:cs="Times New Roman"/>
      <w:sz w:val="18"/>
      <w:szCs w:val="18"/>
    </w:rPr>
  </w:style>
  <w:style w:type="character" w:styleId="a5">
    <w:name w:val="page number"/>
    <w:basedOn w:val="a0"/>
    <w:rsid w:val="00E040FB"/>
  </w:style>
  <w:style w:type="paragraph" w:customStyle="1" w:styleId="CharCharCharCharCharCharChar">
    <w:name w:val="Char Char Char Char Char Char Char"/>
    <w:basedOn w:val="a"/>
    <w:rsid w:val="00E040FB"/>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文印室</dc:creator>
  <cp:lastModifiedBy>XTZJ</cp:lastModifiedBy>
  <cp:revision>3</cp:revision>
  <dcterms:created xsi:type="dcterms:W3CDTF">2018-05-18T09:22:00Z</dcterms:created>
  <dcterms:modified xsi:type="dcterms:W3CDTF">2018-07-12T12:16:00Z</dcterms:modified>
</cp:coreProperties>
</file>