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D4" w:rsidRDefault="004F06D4" w:rsidP="004F06D4">
      <w:pPr>
        <w:jc w:val="center"/>
        <w:rPr>
          <w:rFonts w:hint="eastAsia"/>
          <w:kern w:val="32"/>
          <w:szCs w:val="20"/>
        </w:rPr>
      </w:pPr>
    </w:p>
    <w:p w:rsidR="004F06D4" w:rsidRDefault="004F06D4" w:rsidP="004F06D4">
      <w:pPr>
        <w:jc w:val="center"/>
        <w:rPr>
          <w:rFonts w:hint="eastAsia"/>
          <w:kern w:val="32"/>
          <w:szCs w:val="20"/>
        </w:rPr>
      </w:pPr>
    </w:p>
    <w:p w:rsidR="004F06D4" w:rsidRDefault="004F06D4" w:rsidP="004F06D4">
      <w:pPr>
        <w:jc w:val="center"/>
        <w:rPr>
          <w:rFonts w:hint="eastAsia"/>
          <w:kern w:val="32"/>
          <w:szCs w:val="20"/>
        </w:rPr>
      </w:pPr>
    </w:p>
    <w:p w:rsidR="004F06D4" w:rsidRDefault="004F06D4" w:rsidP="004F06D4">
      <w:pPr>
        <w:jc w:val="center"/>
        <w:rPr>
          <w:rFonts w:hint="eastAsia"/>
          <w:kern w:val="32"/>
          <w:szCs w:val="20"/>
        </w:rPr>
      </w:pPr>
    </w:p>
    <w:p w:rsidR="004F06D4" w:rsidRDefault="004F06D4" w:rsidP="004F06D4">
      <w:pPr>
        <w:jc w:val="center"/>
        <w:rPr>
          <w:rFonts w:hint="eastAsia"/>
          <w:kern w:val="32"/>
          <w:szCs w:val="20"/>
        </w:rPr>
      </w:pPr>
    </w:p>
    <w:p w:rsidR="004F06D4" w:rsidRDefault="004F06D4" w:rsidP="004F06D4">
      <w:pPr>
        <w:jc w:val="center"/>
        <w:rPr>
          <w:rFonts w:hint="eastAsia"/>
          <w:kern w:val="32"/>
          <w:szCs w:val="20"/>
        </w:rPr>
      </w:pPr>
    </w:p>
    <w:p w:rsidR="004F06D4" w:rsidRDefault="004F06D4" w:rsidP="004F06D4">
      <w:pPr>
        <w:jc w:val="center"/>
        <w:rPr>
          <w:rFonts w:hint="eastAsia"/>
          <w:kern w:val="32"/>
          <w:szCs w:val="20"/>
        </w:rPr>
      </w:pPr>
    </w:p>
    <w:p w:rsidR="004F06D4" w:rsidRDefault="004F06D4" w:rsidP="004F06D4">
      <w:pPr>
        <w:jc w:val="center"/>
        <w:rPr>
          <w:rFonts w:hint="eastAsia"/>
          <w:kern w:val="32"/>
          <w:szCs w:val="20"/>
        </w:rPr>
      </w:pPr>
      <w:r w:rsidRPr="00D766E3">
        <w:rPr>
          <w:kern w:val="32"/>
          <w:szCs w:val="20"/>
        </w:rPr>
        <w:fldChar w:fldCharType="begin"/>
      </w:r>
      <w:r w:rsidRPr="00D766E3">
        <w:rPr>
          <w:kern w:val="32"/>
          <w:szCs w:val="20"/>
        </w:rPr>
        <w:instrText xml:space="preserve"> MERGEFIELD </w:instrText>
      </w:r>
      <w:r w:rsidRPr="00D766E3">
        <w:rPr>
          <w:rFonts w:hint="eastAsia"/>
          <w:kern w:val="32"/>
          <w:szCs w:val="20"/>
        </w:rPr>
        <w:instrText>文件字号</w:instrText>
      </w:r>
      <w:r w:rsidRPr="00D766E3">
        <w:rPr>
          <w:kern w:val="32"/>
          <w:szCs w:val="20"/>
        </w:rPr>
        <w:instrText xml:space="preserve"> </w:instrText>
      </w:r>
      <w:r>
        <w:rPr>
          <w:kern w:val="32"/>
          <w:szCs w:val="20"/>
        </w:rPr>
        <w:fldChar w:fldCharType="separate"/>
      </w:r>
      <w:r w:rsidRPr="006D65EB">
        <w:rPr>
          <w:rFonts w:hint="eastAsia"/>
          <w:noProof/>
          <w:kern w:val="32"/>
          <w:szCs w:val="20"/>
        </w:rPr>
        <w:t>苍政办〔</w:t>
      </w:r>
      <w:r w:rsidRPr="006D65EB">
        <w:rPr>
          <w:rFonts w:hint="eastAsia"/>
          <w:noProof/>
          <w:kern w:val="32"/>
          <w:szCs w:val="20"/>
        </w:rPr>
        <w:t>2018</w:t>
      </w:r>
      <w:r w:rsidRPr="006D65EB">
        <w:rPr>
          <w:rFonts w:hint="eastAsia"/>
          <w:noProof/>
          <w:kern w:val="32"/>
          <w:szCs w:val="20"/>
        </w:rPr>
        <w:t>〕</w:t>
      </w:r>
      <w:r w:rsidRPr="006D65EB">
        <w:rPr>
          <w:rFonts w:hint="eastAsia"/>
          <w:noProof/>
          <w:kern w:val="32"/>
          <w:szCs w:val="20"/>
        </w:rPr>
        <w:t>54</w:t>
      </w:r>
      <w:r w:rsidRPr="006D65EB">
        <w:rPr>
          <w:rFonts w:hint="eastAsia"/>
          <w:noProof/>
          <w:kern w:val="32"/>
          <w:szCs w:val="20"/>
        </w:rPr>
        <w:t>号</w:t>
      </w:r>
      <w:r w:rsidRPr="00D766E3">
        <w:rPr>
          <w:kern w:val="32"/>
          <w:szCs w:val="20"/>
        </w:rPr>
        <w:fldChar w:fldCharType="end"/>
      </w:r>
    </w:p>
    <w:p w:rsidR="004F06D4" w:rsidRDefault="004F06D4" w:rsidP="004F06D4">
      <w:pPr>
        <w:jc w:val="center"/>
        <w:rPr>
          <w:rFonts w:hint="eastAsia"/>
          <w:kern w:val="32"/>
          <w:szCs w:val="20"/>
        </w:rPr>
      </w:pPr>
    </w:p>
    <w:p w:rsidR="004F06D4" w:rsidRPr="00D766E3" w:rsidRDefault="004F06D4" w:rsidP="004F06D4">
      <w:pPr>
        <w:jc w:val="center"/>
        <w:rPr>
          <w:rFonts w:hint="eastAsia"/>
          <w:kern w:val="32"/>
          <w:szCs w:val="20"/>
        </w:rPr>
      </w:pPr>
    </w:p>
    <w:p w:rsidR="004F06D4" w:rsidRPr="004F06D4" w:rsidRDefault="004F06D4" w:rsidP="004F06D4">
      <w:pPr>
        <w:spacing w:line="700" w:lineRule="exact"/>
        <w:jc w:val="center"/>
        <w:rPr>
          <w:rFonts w:ascii="方正小标宋简体" w:eastAsia="方正小标宋简体" w:hAnsi="华文中宋-国防科大试用" w:cs="华文中宋-国防科大试用" w:hint="eastAsia"/>
          <w:sz w:val="44"/>
          <w:szCs w:val="44"/>
        </w:rPr>
      </w:pPr>
      <w:r w:rsidRPr="004F06D4">
        <w:rPr>
          <w:rFonts w:ascii="方正小标宋简体" w:eastAsia="方正小标宋简体" w:hAnsi="华文中宋-国防科大试用" w:cs="华文中宋-国防科大试用" w:hint="eastAsia"/>
          <w:sz w:val="44"/>
          <w:szCs w:val="44"/>
        </w:rPr>
        <w:t>苍南县人民政府办公室</w:t>
      </w:r>
    </w:p>
    <w:p w:rsidR="004F06D4" w:rsidRPr="004F06D4" w:rsidRDefault="004F06D4" w:rsidP="004F06D4">
      <w:pPr>
        <w:spacing w:line="700" w:lineRule="exact"/>
        <w:jc w:val="center"/>
        <w:rPr>
          <w:rFonts w:ascii="方正小标宋简体" w:eastAsia="方正小标宋简体" w:hAnsi="华文中宋-国防科大试用" w:cs="华文中宋-国防科大试用" w:hint="eastAsia"/>
          <w:sz w:val="44"/>
          <w:szCs w:val="44"/>
        </w:rPr>
      </w:pPr>
      <w:r w:rsidRPr="004F06D4">
        <w:rPr>
          <w:rFonts w:ascii="方正小标宋简体" w:eastAsia="方正小标宋简体" w:hAnsi="华文中宋-国防科大试用" w:cs="华文中宋-国防科大试用" w:hint="eastAsia"/>
          <w:sz w:val="44"/>
          <w:szCs w:val="44"/>
        </w:rPr>
        <w:t>关于</w:t>
      </w:r>
      <w:r>
        <w:rPr>
          <w:rFonts w:ascii="方正小标宋简体" w:eastAsia="方正小标宋简体" w:hAnsi="华文中宋-国防科大试用" w:cs="华文中宋-国防科大试用" w:hint="eastAsia"/>
          <w:sz w:val="44"/>
          <w:szCs w:val="44"/>
        </w:rPr>
        <w:t>开展</w:t>
      </w:r>
      <w:r w:rsidRPr="004F06D4">
        <w:rPr>
          <w:rFonts w:ascii="方正小标宋简体" w:eastAsia="方正小标宋简体" w:hAnsi="华文中宋-国防科大试用" w:cs="华文中宋-国防科大试用" w:hint="eastAsia"/>
          <w:sz w:val="44"/>
          <w:szCs w:val="44"/>
        </w:rPr>
        <w:t>行政事业单位公有房产（办公用房）集中管理与分类处置的实施意见</w:t>
      </w:r>
    </w:p>
    <w:p w:rsidR="004F06D4" w:rsidRPr="009E1209" w:rsidRDefault="004F06D4" w:rsidP="004F06D4">
      <w:pPr>
        <w:rPr>
          <w:rFonts w:ascii="仿宋_GB2312" w:hint="eastAsia"/>
          <w:szCs w:val="32"/>
        </w:rPr>
      </w:pPr>
    </w:p>
    <w:p w:rsidR="004F06D4" w:rsidRDefault="004F06D4" w:rsidP="004F06D4">
      <w:pPr>
        <w:rPr>
          <w:rFonts w:ascii="仿宋_GB2312"/>
          <w:szCs w:val="32"/>
        </w:rPr>
      </w:pPr>
      <w:r>
        <w:rPr>
          <w:rFonts w:ascii="仿宋_GB2312" w:hint="eastAsia"/>
          <w:szCs w:val="32"/>
        </w:rPr>
        <w:t>各乡镇人民政府，县政府直属各单位：</w:t>
      </w:r>
    </w:p>
    <w:p w:rsidR="004F06D4" w:rsidRDefault="004F06D4" w:rsidP="004F06D4">
      <w:pPr>
        <w:ind w:firstLineChars="200" w:firstLine="636"/>
        <w:rPr>
          <w:rFonts w:ascii="仿宋_GB2312"/>
          <w:szCs w:val="32"/>
        </w:rPr>
      </w:pPr>
      <w:r>
        <w:rPr>
          <w:rFonts w:ascii="仿宋_GB2312" w:hint="eastAsia"/>
          <w:szCs w:val="32"/>
        </w:rPr>
        <w:t>为进一步规范管理，确保国有资产安全及办公用房高效配置，根据《中共苍南县委办公室 苍南县人民政府办公室关于进一步加强全县行政事业单位办公用房统一管理的通知》（苍委办</w:t>
      </w:r>
      <w:r w:rsidRPr="00162344">
        <w:rPr>
          <w:rFonts w:ascii="仿宋_GB2312" w:hint="eastAsia"/>
          <w:szCs w:val="32"/>
        </w:rPr>
        <w:t>〔</w:t>
      </w:r>
      <w:r>
        <w:rPr>
          <w:rFonts w:ascii="仿宋_GB2312" w:hint="eastAsia"/>
          <w:szCs w:val="32"/>
        </w:rPr>
        <w:t>2016</w:t>
      </w:r>
      <w:r w:rsidRPr="00162344">
        <w:rPr>
          <w:rFonts w:ascii="仿宋_GB2312" w:hint="eastAsia"/>
          <w:szCs w:val="32"/>
        </w:rPr>
        <w:t>〕</w:t>
      </w:r>
      <w:r>
        <w:rPr>
          <w:rFonts w:ascii="仿宋_GB2312" w:hint="eastAsia"/>
          <w:szCs w:val="32"/>
        </w:rPr>
        <w:t>140号）等有关文件精神，现就各单位公有房产（办公用房）的权属管理、权证登记以及相关房产的分类处置，提出如下实施意见。</w:t>
      </w:r>
    </w:p>
    <w:p w:rsidR="004F06D4" w:rsidRDefault="004F06D4" w:rsidP="004F06D4">
      <w:pPr>
        <w:pStyle w:val="a6"/>
        <w:ind w:firstLine="636"/>
        <w:rPr>
          <w:rFonts w:ascii="黑体" w:eastAsia="黑体" w:hAnsi="黑体"/>
          <w:sz w:val="32"/>
          <w:szCs w:val="32"/>
        </w:rPr>
      </w:pPr>
      <w:r>
        <w:rPr>
          <w:rFonts w:ascii="黑体" w:eastAsia="黑体" w:hAnsi="黑体" w:hint="eastAsia"/>
          <w:sz w:val="32"/>
          <w:szCs w:val="32"/>
        </w:rPr>
        <w:t>一、总体要求</w:t>
      </w:r>
    </w:p>
    <w:p w:rsidR="004F06D4" w:rsidRDefault="004F06D4" w:rsidP="004F06D4">
      <w:pPr>
        <w:ind w:firstLineChars="200" w:firstLine="636"/>
        <w:rPr>
          <w:rFonts w:ascii="仿宋_GB2312"/>
          <w:szCs w:val="32"/>
        </w:rPr>
      </w:pPr>
      <w:r>
        <w:rPr>
          <w:rFonts w:ascii="仿宋_GB2312" w:hint="eastAsia"/>
          <w:szCs w:val="32"/>
        </w:rPr>
        <w:t>以认真学习贯彻国务院《机关团体建设楼堂馆所管理条例》</w:t>
      </w:r>
      <w:r>
        <w:rPr>
          <w:rFonts w:ascii="仿宋_GB2312" w:hint="eastAsia"/>
          <w:szCs w:val="32"/>
        </w:rPr>
        <w:lastRenderedPageBreak/>
        <w:t>《党政机关办公用房管理办法》精神为契机，在进一步摸清核实我县行政事业单位公有房产情况的基础上，分类处置、盘活资产、规范管理，确保国有资产完整与安全；以落实管理责任为重点，进一步明确管理职权，着力推动办公用房从分散管理到集中管理的机制建设，确保办公用房高效配置；以办理权证登记为突破口，进一步化解办公用房管理难点，着力推动历史遗留问题的解决，确保办公用房统一管理工作落到实处。</w:t>
      </w:r>
    </w:p>
    <w:p w:rsidR="004F06D4" w:rsidRDefault="004F06D4" w:rsidP="004F06D4">
      <w:pPr>
        <w:ind w:firstLineChars="196" w:firstLine="623"/>
        <w:rPr>
          <w:rFonts w:ascii="黑体" w:eastAsia="黑体" w:hAnsi="黑体"/>
          <w:szCs w:val="32"/>
        </w:rPr>
      </w:pPr>
      <w:r>
        <w:rPr>
          <w:rFonts w:ascii="黑体" w:eastAsia="黑体" w:hAnsi="黑体" w:hint="eastAsia"/>
          <w:szCs w:val="32"/>
        </w:rPr>
        <w:t>二、主要内容</w:t>
      </w:r>
    </w:p>
    <w:p w:rsidR="004F06D4" w:rsidRPr="004F06D4" w:rsidRDefault="004F06D4" w:rsidP="004F06D4">
      <w:pPr>
        <w:ind w:firstLineChars="200" w:firstLine="638"/>
        <w:rPr>
          <w:rFonts w:ascii="楷体_GB2312" w:eastAsia="楷体_GB2312" w:hint="eastAsia"/>
          <w:b/>
          <w:szCs w:val="32"/>
        </w:rPr>
      </w:pPr>
      <w:r w:rsidRPr="004F06D4">
        <w:rPr>
          <w:rFonts w:ascii="楷体_GB2312" w:eastAsia="楷体_GB2312" w:hint="eastAsia"/>
          <w:b/>
          <w:szCs w:val="32"/>
        </w:rPr>
        <w:t>（一）明确权属管辖与权证登记划分</w:t>
      </w:r>
    </w:p>
    <w:p w:rsidR="004F06D4" w:rsidRDefault="004F06D4" w:rsidP="004F06D4">
      <w:pPr>
        <w:ind w:firstLineChars="200" w:firstLine="636"/>
        <w:rPr>
          <w:rFonts w:ascii="仿宋_GB2312"/>
          <w:szCs w:val="32"/>
        </w:rPr>
      </w:pPr>
      <w:r>
        <w:rPr>
          <w:rFonts w:ascii="仿宋_GB2312" w:hint="eastAsia"/>
          <w:szCs w:val="32"/>
        </w:rPr>
        <w:t>1.按公有房产的使用功能划分为办公用房（包括业务技术用房及其土地，下同）、经营性用房和居住性用房。办公用房</w:t>
      </w:r>
      <w:proofErr w:type="gramStart"/>
      <w:r>
        <w:rPr>
          <w:rFonts w:ascii="仿宋_GB2312" w:hint="eastAsia"/>
          <w:szCs w:val="32"/>
        </w:rPr>
        <w:t>列入县</w:t>
      </w:r>
      <w:proofErr w:type="gramEnd"/>
      <w:r>
        <w:rPr>
          <w:rFonts w:ascii="仿宋_GB2312" w:hint="eastAsia"/>
          <w:szCs w:val="32"/>
        </w:rPr>
        <w:t>机关事务管理局统一管理范畴，接受县机关事务管理局统筹管理；经营性用房统一划</w:t>
      </w:r>
      <w:proofErr w:type="gramStart"/>
      <w:r>
        <w:rPr>
          <w:rFonts w:ascii="仿宋_GB2312" w:hint="eastAsia"/>
          <w:szCs w:val="32"/>
        </w:rPr>
        <w:t>转给县</w:t>
      </w:r>
      <w:proofErr w:type="gramEnd"/>
      <w:r>
        <w:rPr>
          <w:rFonts w:ascii="仿宋_GB2312" w:hint="eastAsia"/>
          <w:szCs w:val="32"/>
        </w:rPr>
        <w:t>国资</w:t>
      </w:r>
      <w:proofErr w:type="gramStart"/>
      <w:r>
        <w:rPr>
          <w:rFonts w:ascii="仿宋_GB2312" w:hint="eastAsia"/>
          <w:szCs w:val="32"/>
        </w:rPr>
        <w:t>办集中</w:t>
      </w:r>
      <w:proofErr w:type="gramEnd"/>
      <w:r>
        <w:rPr>
          <w:rFonts w:ascii="仿宋_GB2312" w:hint="eastAsia"/>
          <w:szCs w:val="32"/>
        </w:rPr>
        <w:t>管理；居住性用房由现权属单位(各主管部门、各乡镇)自行管理，直接接受县财政和住</w:t>
      </w:r>
      <w:proofErr w:type="gramStart"/>
      <w:r>
        <w:rPr>
          <w:rFonts w:ascii="仿宋_GB2312" w:hint="eastAsia"/>
          <w:szCs w:val="32"/>
        </w:rPr>
        <w:t>建部门</w:t>
      </w:r>
      <w:proofErr w:type="gramEnd"/>
      <w:r>
        <w:rPr>
          <w:rFonts w:ascii="仿宋_GB2312" w:hint="eastAsia"/>
          <w:szCs w:val="32"/>
        </w:rPr>
        <w:t>监管。</w:t>
      </w:r>
    </w:p>
    <w:p w:rsidR="004F06D4" w:rsidRDefault="004F06D4" w:rsidP="004F06D4">
      <w:pPr>
        <w:ind w:firstLineChars="200" w:firstLine="636"/>
        <w:rPr>
          <w:rFonts w:ascii="仿宋_GB2312"/>
          <w:szCs w:val="32"/>
        </w:rPr>
      </w:pPr>
      <w:r>
        <w:rPr>
          <w:rFonts w:ascii="仿宋_GB2312" w:hint="eastAsia"/>
          <w:szCs w:val="32"/>
        </w:rPr>
        <w:t>2.按照便于集中管理、利于统一调剂的原则，将大部分县级办公用房的权属统一登记到县机关事务管理局名下，由县机关事务管理局负责直接统一管理。</w:t>
      </w:r>
    </w:p>
    <w:p w:rsidR="004F06D4" w:rsidRDefault="004F06D4" w:rsidP="004F06D4">
      <w:pPr>
        <w:ind w:firstLineChars="200" w:firstLine="636"/>
        <w:rPr>
          <w:rFonts w:ascii="仿宋_GB2312"/>
          <w:szCs w:val="32"/>
        </w:rPr>
      </w:pPr>
      <w:r>
        <w:rPr>
          <w:rFonts w:ascii="仿宋_GB2312" w:hint="eastAsia"/>
          <w:szCs w:val="32"/>
        </w:rPr>
        <w:t>3.按照专用专管的原则和自收自支事业单位的需要，将部分特殊业务用房以及教育、卫生系统下属的学校、医院、卫生院等办公用房，交由各主管部门负责直接管理，并指导监督各使用（权属）单位理清权属关系办理好权证登记，由主管部门统一报县机关事务管理局备案。</w:t>
      </w:r>
    </w:p>
    <w:p w:rsidR="004F06D4" w:rsidRDefault="004F06D4" w:rsidP="004F06D4">
      <w:pPr>
        <w:ind w:firstLineChars="200" w:firstLine="636"/>
        <w:rPr>
          <w:rFonts w:ascii="仿宋_GB2312"/>
          <w:szCs w:val="32"/>
        </w:rPr>
      </w:pPr>
      <w:r>
        <w:rPr>
          <w:rFonts w:ascii="仿宋_GB2312" w:hint="eastAsia"/>
          <w:szCs w:val="32"/>
        </w:rPr>
        <w:lastRenderedPageBreak/>
        <w:t>4.按照有效利用、适度调剂的原则，将部分闲置或乡镇已在使用的县级行政事业部门所属的办公用房权属划转给所在乡镇政府，并由各乡镇办理好权证登记，统一报县机关事务管理局备案。</w:t>
      </w:r>
    </w:p>
    <w:p w:rsidR="004F06D4" w:rsidRDefault="004F06D4" w:rsidP="004F06D4">
      <w:pPr>
        <w:ind w:firstLineChars="200" w:firstLine="636"/>
        <w:rPr>
          <w:rFonts w:ascii="仿宋_GB2312"/>
          <w:szCs w:val="32"/>
        </w:rPr>
      </w:pPr>
      <w:r>
        <w:rPr>
          <w:rFonts w:ascii="仿宋_GB2312" w:hint="eastAsia"/>
          <w:szCs w:val="32"/>
        </w:rPr>
        <w:t>以上涉及到的有关房产的权属管辖与权证登记的划分，由全县行政事业单位办公用房统一管理领导小组办公室提交领导小组审定后执行。</w:t>
      </w:r>
    </w:p>
    <w:p w:rsidR="004F06D4" w:rsidRPr="004F06D4" w:rsidRDefault="004F06D4" w:rsidP="004F06D4">
      <w:pPr>
        <w:ind w:firstLineChars="200" w:firstLine="638"/>
        <w:rPr>
          <w:rFonts w:ascii="楷体_GB2312" w:eastAsia="楷体_GB2312" w:hint="eastAsia"/>
          <w:b/>
          <w:szCs w:val="32"/>
        </w:rPr>
      </w:pPr>
      <w:r w:rsidRPr="004F06D4">
        <w:rPr>
          <w:rFonts w:ascii="楷体_GB2312" w:eastAsia="楷体_GB2312" w:hint="eastAsia"/>
          <w:b/>
          <w:szCs w:val="32"/>
        </w:rPr>
        <w:t>（二）办理权属移交与权证登记手续</w:t>
      </w:r>
    </w:p>
    <w:p w:rsidR="004F06D4" w:rsidRDefault="004F06D4" w:rsidP="004F06D4">
      <w:pPr>
        <w:ind w:firstLineChars="200" w:firstLine="636"/>
        <w:rPr>
          <w:rFonts w:ascii="仿宋_GB2312"/>
          <w:szCs w:val="32"/>
        </w:rPr>
      </w:pPr>
      <w:r>
        <w:rPr>
          <w:rFonts w:ascii="仿宋_GB2312" w:hint="eastAsia"/>
          <w:szCs w:val="32"/>
        </w:rPr>
        <w:t>1.以全县办公用房统一管理领导小组办公室名义向</w:t>
      </w:r>
      <w:proofErr w:type="gramStart"/>
      <w:r>
        <w:rPr>
          <w:rFonts w:ascii="仿宋_GB2312" w:hint="eastAsia"/>
          <w:szCs w:val="32"/>
        </w:rPr>
        <w:t>列入县</w:t>
      </w:r>
      <w:proofErr w:type="gramEnd"/>
      <w:r>
        <w:rPr>
          <w:rFonts w:ascii="仿宋_GB2312" w:hint="eastAsia"/>
          <w:szCs w:val="32"/>
        </w:rPr>
        <w:t>机关事务管理局直接统一管理的房产所在单位发出权属移交通知书，由县机关事务管理局与不动产划出单位办理包括收交权证及相关原始资料等移交手续，完成权属接管任务。</w:t>
      </w:r>
    </w:p>
    <w:p w:rsidR="004F06D4" w:rsidRDefault="004F06D4" w:rsidP="004F06D4">
      <w:pPr>
        <w:ind w:firstLineChars="200" w:firstLine="636"/>
        <w:rPr>
          <w:rFonts w:ascii="仿宋_GB2312"/>
          <w:szCs w:val="32"/>
        </w:rPr>
      </w:pPr>
      <w:r>
        <w:rPr>
          <w:rFonts w:ascii="仿宋_GB2312" w:hint="eastAsia"/>
          <w:szCs w:val="32"/>
        </w:rPr>
        <w:t>2.以全县办公用房统一管理领导小组办公室名义向列入划转给所在乡镇政府的闲置和乡镇已在使用的有关办公用房的所在单位发出权属移交通知书，由各乡镇与相关不动产划出单位办理权属接管工作。</w:t>
      </w:r>
    </w:p>
    <w:p w:rsidR="004F06D4" w:rsidRDefault="004F06D4" w:rsidP="004F06D4">
      <w:pPr>
        <w:ind w:firstLineChars="200" w:firstLine="636"/>
        <w:rPr>
          <w:rFonts w:ascii="仿宋_GB2312"/>
          <w:szCs w:val="32"/>
        </w:rPr>
      </w:pPr>
      <w:r>
        <w:rPr>
          <w:rFonts w:ascii="仿宋_GB2312" w:hint="eastAsia"/>
          <w:szCs w:val="32"/>
        </w:rPr>
        <w:t>3.权属的确认与权证登记。成立由县政府分管副县长为组长，县府办分管副主任、县机关事务管理局局长为副组长，县财政局、县住建局、县国土资源局、县机关事务管理局、县国资办等单位相关负责人为成员组成的确权与登记工作组，专门负责协调公有房产权属的确认与登记。具体权属确认与权证登记实施方案另行公布。</w:t>
      </w:r>
    </w:p>
    <w:p w:rsidR="004F06D4" w:rsidRPr="004F06D4" w:rsidRDefault="004F06D4" w:rsidP="004F06D4">
      <w:pPr>
        <w:ind w:firstLineChars="200" w:firstLine="638"/>
        <w:rPr>
          <w:rFonts w:ascii="楷体_GB2312" w:eastAsia="楷体_GB2312" w:hint="eastAsia"/>
          <w:b/>
          <w:szCs w:val="32"/>
        </w:rPr>
      </w:pPr>
      <w:r w:rsidRPr="004F06D4">
        <w:rPr>
          <w:rFonts w:ascii="楷体_GB2312" w:eastAsia="楷体_GB2312" w:hint="eastAsia"/>
          <w:b/>
          <w:szCs w:val="32"/>
        </w:rPr>
        <w:t>（三）相关房产的分类处置</w:t>
      </w:r>
    </w:p>
    <w:p w:rsidR="004F06D4" w:rsidRDefault="004F06D4" w:rsidP="004F06D4">
      <w:pPr>
        <w:ind w:firstLineChars="200" w:firstLine="636"/>
        <w:rPr>
          <w:rFonts w:ascii="仿宋_GB2312"/>
          <w:szCs w:val="32"/>
        </w:rPr>
      </w:pPr>
      <w:r>
        <w:rPr>
          <w:rFonts w:ascii="仿宋_GB2312" w:hint="eastAsia"/>
          <w:szCs w:val="32"/>
        </w:rPr>
        <w:t>1.对各主管部门上报的找不到或已拆的历史遗留房产由确</w:t>
      </w:r>
      <w:r>
        <w:rPr>
          <w:rFonts w:ascii="仿宋_GB2312" w:hint="eastAsia"/>
          <w:szCs w:val="32"/>
        </w:rPr>
        <w:lastRenderedPageBreak/>
        <w:t>权与登记工作组进行进一步确认后，报县政府给予注销；</w:t>
      </w:r>
    </w:p>
    <w:p w:rsidR="004F06D4" w:rsidRDefault="004F06D4" w:rsidP="004F06D4">
      <w:pPr>
        <w:ind w:firstLineChars="200" w:firstLine="636"/>
        <w:rPr>
          <w:rFonts w:ascii="仿宋_GB2312"/>
          <w:szCs w:val="32"/>
        </w:rPr>
      </w:pPr>
      <w:r>
        <w:rPr>
          <w:rFonts w:ascii="仿宋_GB2312" w:hint="eastAsia"/>
          <w:szCs w:val="32"/>
        </w:rPr>
        <w:t>2.对于经营性用房以及已不适宜办公使用的单间房、套间</w:t>
      </w:r>
      <w:proofErr w:type="gramStart"/>
      <w:r>
        <w:rPr>
          <w:rFonts w:ascii="仿宋_GB2312" w:hint="eastAsia"/>
          <w:szCs w:val="32"/>
        </w:rPr>
        <w:t>等划转给县</w:t>
      </w:r>
      <w:proofErr w:type="gramEnd"/>
      <w:r>
        <w:rPr>
          <w:rFonts w:ascii="仿宋_GB2312" w:hint="eastAsia"/>
          <w:szCs w:val="32"/>
        </w:rPr>
        <w:t>国资办，以盘活资产、做大国资。具体房产名册由县行政事业单位办公用房统一管理领导小组办公室提交领导小组审定后，按有关规定办理转移手续。</w:t>
      </w:r>
    </w:p>
    <w:p w:rsidR="004F06D4" w:rsidRDefault="004F06D4" w:rsidP="004F06D4">
      <w:pPr>
        <w:ind w:firstLineChars="200" w:firstLine="636"/>
        <w:rPr>
          <w:rFonts w:ascii="仿宋_GB2312"/>
          <w:szCs w:val="32"/>
        </w:rPr>
      </w:pPr>
      <w:r>
        <w:rPr>
          <w:rFonts w:ascii="仿宋_GB2312" w:hint="eastAsia"/>
          <w:szCs w:val="32"/>
        </w:rPr>
        <w:t>3.对有关单位未房改的宿舍楼房产，由现权属单位提出处置和管理意见，报全县办公用房统一管理领导小组审定。</w:t>
      </w:r>
    </w:p>
    <w:p w:rsidR="004F06D4" w:rsidRDefault="004F06D4" w:rsidP="004F06D4">
      <w:pPr>
        <w:ind w:firstLineChars="200" w:firstLine="636"/>
        <w:rPr>
          <w:rFonts w:ascii="仿宋_GB2312"/>
          <w:szCs w:val="32"/>
        </w:rPr>
      </w:pPr>
      <w:r>
        <w:rPr>
          <w:rFonts w:ascii="仿宋_GB2312" w:hint="eastAsia"/>
          <w:szCs w:val="32"/>
        </w:rPr>
        <w:t>4.各主管单位所属的办公用房危房拆除、拍卖处置、划拨使用等应严格执行报批规定，并及</w:t>
      </w:r>
      <w:proofErr w:type="gramStart"/>
      <w:r>
        <w:rPr>
          <w:rFonts w:ascii="仿宋_GB2312" w:hint="eastAsia"/>
          <w:szCs w:val="32"/>
        </w:rPr>
        <w:t>时报县</w:t>
      </w:r>
      <w:proofErr w:type="gramEnd"/>
      <w:r>
        <w:rPr>
          <w:rFonts w:ascii="仿宋_GB2312" w:hint="eastAsia"/>
          <w:szCs w:val="32"/>
        </w:rPr>
        <w:t>机关事务管理局备案。</w:t>
      </w:r>
    </w:p>
    <w:p w:rsidR="004F06D4" w:rsidRDefault="004F06D4" w:rsidP="004F06D4">
      <w:pPr>
        <w:ind w:firstLineChars="196" w:firstLine="623"/>
        <w:rPr>
          <w:rFonts w:ascii="黑体" w:eastAsia="黑体" w:hAnsi="黑体"/>
          <w:szCs w:val="32"/>
        </w:rPr>
      </w:pPr>
      <w:r>
        <w:rPr>
          <w:rFonts w:ascii="黑体" w:eastAsia="黑体" w:hAnsi="黑体" w:hint="eastAsia"/>
          <w:szCs w:val="32"/>
        </w:rPr>
        <w:t>三、责任与要求</w:t>
      </w:r>
    </w:p>
    <w:p w:rsidR="004F06D4" w:rsidRDefault="004F06D4" w:rsidP="004F06D4">
      <w:pPr>
        <w:ind w:firstLineChars="150" w:firstLine="479"/>
        <w:rPr>
          <w:rFonts w:ascii="仿宋_GB2312"/>
          <w:szCs w:val="32"/>
        </w:rPr>
      </w:pPr>
      <w:r w:rsidRPr="004F06D4">
        <w:rPr>
          <w:rFonts w:ascii="楷体_GB2312" w:eastAsia="楷体_GB2312" w:hint="eastAsia"/>
          <w:b/>
          <w:szCs w:val="32"/>
        </w:rPr>
        <w:t>（一）提高认识，加强领导。</w:t>
      </w:r>
      <w:r>
        <w:rPr>
          <w:rFonts w:ascii="仿宋_GB2312" w:hint="eastAsia"/>
          <w:szCs w:val="32"/>
        </w:rPr>
        <w:t>全县行政事业单位公有房产（办公用房）清查核实已经基本完成，如何进一步优化调剂、盘活资产、规范管理、确保国有资产安全更是关键，更有现实意义。各相关单位要进一步提高认识，努力克服与己无关与政绩无关的想法，切实加强对此项工作的领导，要指定专人负责协助各主管部门及时办理相关事项。</w:t>
      </w:r>
    </w:p>
    <w:p w:rsidR="004F06D4" w:rsidRDefault="004F06D4" w:rsidP="004F06D4">
      <w:pPr>
        <w:ind w:firstLineChars="150" w:firstLine="479"/>
        <w:rPr>
          <w:rFonts w:ascii="仿宋_GB2312"/>
          <w:szCs w:val="32"/>
        </w:rPr>
      </w:pPr>
      <w:r w:rsidRPr="004F06D4">
        <w:rPr>
          <w:rFonts w:ascii="楷体_GB2312" w:eastAsia="楷体_GB2312" w:hint="eastAsia"/>
          <w:b/>
          <w:szCs w:val="32"/>
        </w:rPr>
        <w:t>（二）明确责任，把握重点。</w:t>
      </w:r>
      <w:r>
        <w:rPr>
          <w:rFonts w:ascii="仿宋_GB2312" w:hint="eastAsia"/>
          <w:szCs w:val="32"/>
        </w:rPr>
        <w:t>县机关事务管理局、县国资办、各乡镇要在2018年7月底前完成对相关单位有关房产权属的移交接管工作；各乡镇及教育、卫计等主管部门要将其下属单位的房产要按规定要求于2018年7月底前统一上报县机关事务管理局备案；县财政局、县机关事务管理局要督促相关主管部门对有关房产（没有使用价值的办公用房及居住用房）抓紧进行清理，切实加强管理，并按规定程序报批拍卖处理以盘活资产；确权与登记</w:t>
      </w:r>
      <w:r>
        <w:rPr>
          <w:rFonts w:ascii="仿宋_GB2312" w:hint="eastAsia"/>
          <w:szCs w:val="32"/>
        </w:rPr>
        <w:lastRenderedPageBreak/>
        <w:t>工作组要把今年作为“办证年”，采取有力措施，努力改变我县公有房产办证率全市最低的落后局面。</w:t>
      </w:r>
    </w:p>
    <w:p w:rsidR="004F06D4" w:rsidRDefault="004F06D4" w:rsidP="004F06D4">
      <w:pPr>
        <w:ind w:firstLineChars="150" w:firstLine="479"/>
        <w:rPr>
          <w:rFonts w:ascii="仿宋_GB2312"/>
          <w:szCs w:val="32"/>
        </w:rPr>
      </w:pPr>
      <w:r w:rsidRPr="004F06D4">
        <w:rPr>
          <w:rFonts w:ascii="楷体_GB2312" w:eastAsia="楷体_GB2312" w:hint="eastAsia"/>
          <w:b/>
          <w:szCs w:val="32"/>
        </w:rPr>
        <w:t>（三）强化落实，严肃追责。</w:t>
      </w:r>
      <w:r>
        <w:rPr>
          <w:rFonts w:ascii="仿宋_GB2312" w:hint="eastAsia"/>
          <w:szCs w:val="32"/>
        </w:rPr>
        <w:t>全县办公用房统一管理领导小组办公室要认真负责、主动作为，加强对面上工作的指导与监督；领导小组各成员单位要根据各自职责，加强沟通协调，强化通力合作，积极主动完成各项任务；各涉及到的相关房产所在单位要主动配合，积极协助各主管部门及时按规定办理相关事项，按时做好各项工作。对于工作拖拉被动、不予配合的行为，将由县纪委、县监委给予严肃追责。</w:t>
      </w:r>
    </w:p>
    <w:p w:rsidR="004F06D4" w:rsidRDefault="004F06D4" w:rsidP="004F06D4">
      <w:pPr>
        <w:rPr>
          <w:rFonts w:ascii="仿宋_GB2312"/>
          <w:szCs w:val="32"/>
        </w:rPr>
      </w:pPr>
    </w:p>
    <w:p w:rsidR="004F06D4" w:rsidRDefault="004F06D4" w:rsidP="004F06D4">
      <w:pPr>
        <w:snapToGrid w:val="0"/>
        <w:spacing w:line="596" w:lineRule="exact"/>
        <w:jc w:val="right"/>
        <w:textAlignment w:val="top"/>
        <w:rPr>
          <w:rFonts w:ascii="仿宋_GB2312" w:hint="eastAsia"/>
          <w:szCs w:val="32"/>
        </w:rPr>
      </w:pPr>
    </w:p>
    <w:p w:rsidR="004F06D4" w:rsidRPr="00B65D40" w:rsidRDefault="004F06D4" w:rsidP="004F06D4">
      <w:pPr>
        <w:snapToGrid w:val="0"/>
        <w:spacing w:line="596" w:lineRule="exact"/>
        <w:jc w:val="right"/>
        <w:textAlignment w:val="top"/>
        <w:rPr>
          <w:rFonts w:ascii="仿宋_GB2312" w:hint="eastAsia"/>
          <w:szCs w:val="32"/>
        </w:rPr>
      </w:pPr>
    </w:p>
    <w:p w:rsidR="004F06D4" w:rsidRDefault="004F06D4" w:rsidP="004F06D4">
      <w:pPr>
        <w:snapToGrid w:val="0"/>
        <w:spacing w:line="596" w:lineRule="exact"/>
        <w:ind w:right="636"/>
        <w:jc w:val="right"/>
        <w:textAlignment w:val="top"/>
        <w:rPr>
          <w:rFonts w:ascii="仿宋_GB2312" w:hint="eastAsia"/>
          <w:szCs w:val="32"/>
        </w:rPr>
      </w:pPr>
      <w:r>
        <w:rPr>
          <w:rFonts w:ascii="仿宋_GB2312" w:hint="eastAsia"/>
          <w:szCs w:val="32"/>
        </w:rPr>
        <w:t>苍南县人民政府办公室</w:t>
      </w:r>
    </w:p>
    <w:p w:rsidR="004F06D4" w:rsidRDefault="004F06D4" w:rsidP="004F06D4">
      <w:pPr>
        <w:snapToGrid w:val="0"/>
        <w:spacing w:line="596" w:lineRule="exact"/>
        <w:ind w:right="954"/>
        <w:jc w:val="right"/>
        <w:textAlignment w:val="top"/>
        <w:rPr>
          <w:rFonts w:ascii="仿宋_GB2312" w:hint="eastAsia"/>
          <w:szCs w:val="32"/>
        </w:rPr>
      </w:pPr>
      <w:r>
        <w:rPr>
          <w:rFonts w:ascii="仿宋_GB2312" w:hint="eastAsia"/>
          <w:szCs w:val="32"/>
        </w:rPr>
        <w:t>2018年7月12日</w:t>
      </w:r>
    </w:p>
    <w:p w:rsidR="004F06D4" w:rsidRDefault="004F06D4" w:rsidP="004F06D4">
      <w:pPr>
        <w:snapToGrid w:val="0"/>
        <w:spacing w:line="596" w:lineRule="exact"/>
        <w:textAlignment w:val="top"/>
        <w:rPr>
          <w:rFonts w:ascii="仿宋_GB2312" w:hint="eastAsia"/>
          <w:szCs w:val="32"/>
        </w:rPr>
      </w:pPr>
      <w:r>
        <w:rPr>
          <w:rFonts w:ascii="仿宋_GB2312" w:hint="eastAsia"/>
          <w:szCs w:val="32"/>
        </w:rPr>
        <w:t xml:space="preserve">    （此件公开发布）</w:t>
      </w:r>
    </w:p>
    <w:p w:rsidR="004F06D4" w:rsidRDefault="004F06D4" w:rsidP="004F06D4">
      <w:pPr>
        <w:snapToGrid w:val="0"/>
        <w:spacing w:line="596" w:lineRule="exact"/>
        <w:textAlignment w:val="top"/>
        <w:rPr>
          <w:rFonts w:ascii="仿宋_GB2312" w:hint="eastAsia"/>
          <w:szCs w:val="32"/>
        </w:rPr>
      </w:pPr>
    </w:p>
    <w:p w:rsidR="004F06D4" w:rsidRDefault="004F06D4" w:rsidP="004F06D4">
      <w:pPr>
        <w:snapToGrid w:val="0"/>
        <w:spacing w:line="596" w:lineRule="exact"/>
        <w:textAlignment w:val="top"/>
        <w:rPr>
          <w:rFonts w:ascii="仿宋_GB2312" w:hint="eastAsia"/>
          <w:szCs w:val="32"/>
        </w:rPr>
      </w:pPr>
    </w:p>
    <w:p w:rsidR="004F06D4" w:rsidRDefault="004F06D4" w:rsidP="004F06D4">
      <w:pPr>
        <w:snapToGrid w:val="0"/>
        <w:spacing w:line="596" w:lineRule="exact"/>
        <w:textAlignment w:val="top"/>
        <w:rPr>
          <w:rFonts w:ascii="仿宋_GB2312" w:hint="eastAsia"/>
          <w:szCs w:val="32"/>
        </w:rPr>
      </w:pPr>
    </w:p>
    <w:p w:rsidR="004F06D4" w:rsidRDefault="004F06D4" w:rsidP="004F06D4">
      <w:pPr>
        <w:snapToGrid w:val="0"/>
        <w:spacing w:line="596" w:lineRule="exact"/>
        <w:textAlignment w:val="top"/>
        <w:rPr>
          <w:rFonts w:ascii="仿宋_GB2312" w:hint="eastAsia"/>
          <w:szCs w:val="32"/>
        </w:rPr>
      </w:pPr>
    </w:p>
    <w:p w:rsidR="004F06D4" w:rsidRDefault="004F06D4" w:rsidP="004F06D4">
      <w:pPr>
        <w:snapToGrid w:val="0"/>
        <w:spacing w:line="596" w:lineRule="exact"/>
        <w:textAlignment w:val="top"/>
        <w:rPr>
          <w:rFonts w:ascii="仿宋_GB2312" w:hint="eastAsia"/>
          <w:szCs w:val="32"/>
        </w:rPr>
      </w:pPr>
    </w:p>
    <w:p w:rsidR="004F06D4" w:rsidRDefault="004F06D4" w:rsidP="004F06D4">
      <w:pPr>
        <w:snapToGrid w:val="0"/>
        <w:spacing w:line="596" w:lineRule="exact"/>
        <w:textAlignment w:val="top"/>
        <w:rPr>
          <w:rFonts w:ascii="仿宋_GB2312" w:hint="eastAsia"/>
          <w:szCs w:val="32"/>
        </w:rPr>
      </w:pPr>
    </w:p>
    <w:p w:rsidR="004F06D4" w:rsidRDefault="004F06D4" w:rsidP="004F06D4">
      <w:pPr>
        <w:snapToGrid w:val="0"/>
        <w:spacing w:line="596" w:lineRule="exact"/>
        <w:textAlignment w:val="top"/>
        <w:rPr>
          <w:rFonts w:ascii="仿宋_GB2312" w:hint="eastAsia"/>
          <w:szCs w:val="32"/>
        </w:rPr>
      </w:pPr>
    </w:p>
    <w:p w:rsidR="004F06D4" w:rsidRDefault="004F06D4" w:rsidP="004F06D4">
      <w:pPr>
        <w:snapToGrid w:val="0"/>
        <w:spacing w:line="596" w:lineRule="exact"/>
        <w:textAlignment w:val="top"/>
        <w:rPr>
          <w:rFonts w:ascii="仿宋_GB2312" w:hint="eastAsia"/>
          <w:szCs w:val="32"/>
        </w:rPr>
      </w:pPr>
    </w:p>
    <w:p w:rsidR="004F06D4" w:rsidRDefault="004F06D4" w:rsidP="004F06D4">
      <w:pPr>
        <w:snapToGrid w:val="0"/>
        <w:spacing w:line="596" w:lineRule="exact"/>
        <w:textAlignment w:val="top"/>
        <w:rPr>
          <w:rFonts w:ascii="仿宋_GB2312" w:hint="eastAsia"/>
          <w:szCs w:val="32"/>
        </w:rPr>
      </w:pPr>
    </w:p>
    <w:p w:rsidR="004F06D4" w:rsidRDefault="004F06D4" w:rsidP="004F06D4">
      <w:pPr>
        <w:snapToGrid w:val="0"/>
        <w:spacing w:line="596" w:lineRule="exact"/>
        <w:textAlignment w:val="top"/>
        <w:rPr>
          <w:rFonts w:ascii="仿宋_GB2312" w:hint="eastAsia"/>
          <w:szCs w:val="32"/>
        </w:rPr>
      </w:pPr>
    </w:p>
    <w:p w:rsidR="004F06D4" w:rsidRDefault="004F06D4" w:rsidP="004F06D4">
      <w:pPr>
        <w:snapToGrid w:val="0"/>
        <w:spacing w:line="596" w:lineRule="exact"/>
        <w:textAlignment w:val="top"/>
        <w:rPr>
          <w:rFonts w:ascii="仿宋_GB2312" w:hint="eastAsia"/>
          <w:szCs w:val="32"/>
        </w:rPr>
      </w:pPr>
    </w:p>
    <w:p w:rsidR="004F06D4" w:rsidRDefault="004F06D4" w:rsidP="004F06D4">
      <w:pPr>
        <w:snapToGrid w:val="0"/>
        <w:spacing w:line="596" w:lineRule="exact"/>
        <w:textAlignment w:val="top"/>
        <w:rPr>
          <w:rFonts w:ascii="仿宋_GB2312" w:hint="eastAsia"/>
          <w:szCs w:val="32"/>
        </w:rPr>
      </w:pPr>
    </w:p>
    <w:p w:rsidR="004F06D4" w:rsidRDefault="004F06D4" w:rsidP="004F06D4">
      <w:pPr>
        <w:snapToGrid w:val="0"/>
        <w:spacing w:line="596" w:lineRule="exact"/>
        <w:textAlignment w:val="top"/>
        <w:rPr>
          <w:rFonts w:ascii="仿宋_GB2312" w:hint="eastAsia"/>
          <w:szCs w:val="32"/>
        </w:rPr>
      </w:pPr>
    </w:p>
    <w:p w:rsidR="004F06D4" w:rsidRDefault="004F06D4" w:rsidP="004F06D4">
      <w:pPr>
        <w:snapToGrid w:val="0"/>
        <w:spacing w:line="596" w:lineRule="exact"/>
        <w:textAlignment w:val="top"/>
        <w:rPr>
          <w:rFonts w:ascii="仿宋_GB2312" w:hint="eastAsia"/>
          <w:szCs w:val="32"/>
        </w:rPr>
      </w:pPr>
    </w:p>
    <w:p w:rsidR="004F06D4" w:rsidRDefault="004F06D4" w:rsidP="004F06D4">
      <w:pPr>
        <w:snapToGrid w:val="0"/>
        <w:spacing w:line="596" w:lineRule="exact"/>
        <w:textAlignment w:val="top"/>
        <w:rPr>
          <w:rFonts w:ascii="仿宋_GB2312" w:hint="eastAsia"/>
          <w:szCs w:val="32"/>
        </w:rPr>
      </w:pPr>
    </w:p>
    <w:p w:rsidR="004F06D4" w:rsidRDefault="004F06D4" w:rsidP="004F06D4">
      <w:pPr>
        <w:snapToGrid w:val="0"/>
        <w:spacing w:line="596" w:lineRule="exact"/>
        <w:textAlignment w:val="top"/>
        <w:rPr>
          <w:rFonts w:ascii="仿宋_GB2312" w:hint="eastAsia"/>
          <w:szCs w:val="32"/>
        </w:rPr>
      </w:pPr>
    </w:p>
    <w:p w:rsidR="004F06D4" w:rsidRDefault="004F06D4" w:rsidP="004F06D4">
      <w:pPr>
        <w:snapToGrid w:val="0"/>
        <w:spacing w:line="596" w:lineRule="exact"/>
        <w:textAlignment w:val="top"/>
        <w:rPr>
          <w:rFonts w:ascii="仿宋_GB2312" w:hint="eastAsia"/>
          <w:szCs w:val="32"/>
        </w:rPr>
      </w:pPr>
    </w:p>
    <w:p w:rsidR="004F06D4" w:rsidRDefault="004F06D4" w:rsidP="004F06D4">
      <w:pPr>
        <w:snapToGrid w:val="0"/>
        <w:spacing w:line="596" w:lineRule="exact"/>
        <w:textAlignment w:val="top"/>
        <w:rPr>
          <w:rFonts w:ascii="仿宋_GB2312" w:hint="eastAsia"/>
          <w:szCs w:val="32"/>
        </w:rPr>
      </w:pPr>
    </w:p>
    <w:p w:rsidR="004F06D4" w:rsidRDefault="004F06D4" w:rsidP="004F06D4">
      <w:pPr>
        <w:snapToGrid w:val="0"/>
        <w:spacing w:line="596" w:lineRule="exact"/>
        <w:textAlignment w:val="top"/>
        <w:rPr>
          <w:rFonts w:ascii="仿宋_GB2312" w:hint="eastAsia"/>
          <w:szCs w:val="32"/>
        </w:rPr>
      </w:pPr>
    </w:p>
    <w:p w:rsidR="004F06D4" w:rsidRDefault="004F06D4" w:rsidP="004F06D4">
      <w:pPr>
        <w:snapToGrid w:val="0"/>
        <w:spacing w:line="596" w:lineRule="exact"/>
        <w:textAlignment w:val="top"/>
        <w:rPr>
          <w:rFonts w:ascii="仿宋_GB2312" w:hint="eastAsia"/>
          <w:szCs w:val="32"/>
        </w:rPr>
      </w:pPr>
    </w:p>
    <w:p w:rsidR="004F06D4" w:rsidRDefault="004F06D4" w:rsidP="004F06D4">
      <w:pPr>
        <w:snapToGrid w:val="0"/>
        <w:spacing w:line="596" w:lineRule="exact"/>
        <w:textAlignment w:val="top"/>
        <w:rPr>
          <w:rFonts w:ascii="仿宋_GB2312" w:hint="eastAsia"/>
          <w:szCs w:val="32"/>
        </w:rPr>
      </w:pPr>
    </w:p>
    <w:p w:rsidR="004F06D4" w:rsidRDefault="004F06D4" w:rsidP="004F06D4">
      <w:pPr>
        <w:snapToGrid w:val="0"/>
        <w:spacing w:line="596" w:lineRule="exact"/>
        <w:textAlignment w:val="top"/>
        <w:rPr>
          <w:rFonts w:ascii="仿宋_GB2312" w:hint="eastAsia"/>
          <w:szCs w:val="32"/>
        </w:rPr>
      </w:pPr>
    </w:p>
    <w:p w:rsidR="004F06D4" w:rsidRDefault="004F06D4" w:rsidP="004F06D4">
      <w:pPr>
        <w:snapToGrid w:val="0"/>
        <w:spacing w:line="596" w:lineRule="exact"/>
        <w:textAlignment w:val="top"/>
        <w:rPr>
          <w:rFonts w:ascii="仿宋_GB2312" w:hint="eastAsia"/>
          <w:szCs w:val="32"/>
        </w:rPr>
      </w:pPr>
    </w:p>
    <w:p w:rsidR="004F06D4" w:rsidRDefault="004F06D4" w:rsidP="004F06D4">
      <w:pPr>
        <w:snapToGrid w:val="0"/>
        <w:spacing w:line="596" w:lineRule="exact"/>
        <w:textAlignment w:val="top"/>
        <w:rPr>
          <w:rFonts w:ascii="仿宋_GB2312" w:hint="eastAsia"/>
          <w:szCs w:val="32"/>
        </w:rPr>
      </w:pPr>
    </w:p>
    <w:p w:rsidR="004F06D4" w:rsidRDefault="004F06D4" w:rsidP="004F06D4">
      <w:pPr>
        <w:snapToGrid w:val="0"/>
        <w:spacing w:line="596" w:lineRule="exact"/>
        <w:textAlignment w:val="top"/>
        <w:rPr>
          <w:rFonts w:ascii="仿宋_GB2312" w:hint="eastAsia"/>
          <w:szCs w:val="32"/>
        </w:rPr>
      </w:pPr>
    </w:p>
    <w:p w:rsidR="004F06D4" w:rsidRDefault="004F06D4" w:rsidP="004F06D4">
      <w:pPr>
        <w:snapToGrid w:val="0"/>
        <w:spacing w:line="596" w:lineRule="exact"/>
        <w:textAlignment w:val="top"/>
        <w:rPr>
          <w:rFonts w:ascii="仿宋_GB2312" w:hint="eastAsia"/>
          <w:szCs w:val="32"/>
        </w:rPr>
      </w:pPr>
    </w:p>
    <w:p w:rsidR="004F06D4" w:rsidRDefault="004F06D4" w:rsidP="004F06D4">
      <w:pPr>
        <w:snapToGrid w:val="0"/>
        <w:spacing w:line="596" w:lineRule="exact"/>
        <w:textAlignment w:val="top"/>
        <w:rPr>
          <w:rFonts w:ascii="仿宋_GB2312" w:hint="eastAsia"/>
          <w:szCs w:val="32"/>
        </w:rPr>
      </w:pPr>
    </w:p>
    <w:p w:rsidR="004F06D4" w:rsidRDefault="004F06D4" w:rsidP="004F06D4">
      <w:pPr>
        <w:snapToGrid w:val="0"/>
        <w:spacing w:line="440" w:lineRule="exact"/>
        <w:textAlignment w:val="top"/>
        <w:rPr>
          <w:rFonts w:ascii="仿宋_GB2312" w:hint="eastAsia"/>
          <w:szCs w:val="32"/>
        </w:rPr>
      </w:pPr>
    </w:p>
    <w:p w:rsidR="004F06D4" w:rsidRDefault="004F06D4" w:rsidP="004F06D4">
      <w:pPr>
        <w:snapToGrid w:val="0"/>
        <w:spacing w:line="440" w:lineRule="exact"/>
        <w:textAlignment w:val="top"/>
        <w:rPr>
          <w:rFonts w:ascii="仿宋_GB2312" w:hint="eastAsia"/>
          <w:szCs w:val="32"/>
        </w:rPr>
      </w:pPr>
    </w:p>
    <w:p w:rsidR="004F06D4" w:rsidRDefault="004F06D4" w:rsidP="004F06D4">
      <w:pPr>
        <w:snapToGrid w:val="0"/>
        <w:spacing w:line="596" w:lineRule="exact"/>
        <w:textAlignment w:val="top"/>
        <w:rPr>
          <w:rFonts w:ascii="仿宋_GB2312" w:hint="eastAsia"/>
          <w:szCs w:val="32"/>
        </w:rPr>
      </w:pPr>
    </w:p>
    <w:p w:rsidR="004F06D4" w:rsidRPr="00F84899" w:rsidRDefault="004F06D4" w:rsidP="004F06D4">
      <w:pPr>
        <w:pBdr>
          <w:top w:val="single" w:sz="6" w:space="1" w:color="auto"/>
          <w:bottom w:val="single" w:sz="6" w:space="1" w:color="auto"/>
        </w:pBdr>
        <w:snapToGrid w:val="0"/>
        <w:spacing w:line="440" w:lineRule="exact"/>
        <w:textAlignment w:val="top"/>
        <w:rPr>
          <w:rFonts w:ascii="仿宋_GB2312" w:hint="eastAsia"/>
          <w:sz w:val="28"/>
          <w:szCs w:val="28"/>
        </w:rPr>
      </w:pPr>
      <w:r w:rsidRPr="00F84899">
        <w:rPr>
          <w:rFonts w:ascii="仿宋_GB2312" w:hint="eastAsia"/>
          <w:sz w:val="28"/>
          <w:szCs w:val="28"/>
        </w:rPr>
        <w:t xml:space="preserve">  苍南县人民政府办公室         </w:t>
      </w:r>
      <w:r>
        <w:rPr>
          <w:rFonts w:ascii="仿宋_GB2312" w:hint="eastAsia"/>
          <w:sz w:val="28"/>
          <w:szCs w:val="28"/>
        </w:rPr>
        <w:t xml:space="preserve">      </w:t>
      </w:r>
      <w:r w:rsidRPr="00F84899">
        <w:rPr>
          <w:rFonts w:ascii="仿宋_GB2312" w:hint="eastAsia"/>
          <w:sz w:val="28"/>
          <w:szCs w:val="28"/>
        </w:rPr>
        <w:t xml:space="preserve">    2018年7月12日印发</w:t>
      </w:r>
    </w:p>
    <w:p w:rsidR="000C734B" w:rsidRPr="004F06D4" w:rsidRDefault="000C734B">
      <w:bookmarkStart w:id="0" w:name="BodyEnd"/>
      <w:bookmarkStart w:id="1" w:name="_GoBack"/>
      <w:bookmarkEnd w:id="0"/>
      <w:bookmarkEnd w:id="1"/>
    </w:p>
    <w:sectPr w:rsidR="000C734B" w:rsidRPr="004F06D4" w:rsidSect="00F84899">
      <w:headerReference w:type="default" r:id="rId5"/>
      <w:footerReference w:type="even" r:id="rId6"/>
      <w:footerReference w:type="default" r:id="rId7"/>
      <w:footerReference w:type="first" r:id="rId8"/>
      <w:pgSz w:w="11906" w:h="16838" w:code="9"/>
      <w:pgMar w:top="1361" w:right="1418" w:bottom="1134" w:left="1588" w:header="851" w:footer="1134" w:gutter="0"/>
      <w:cols w:space="425"/>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国防科大试用">
    <w:altName w:val="Arial Unicode MS"/>
    <w:charset w:val="86"/>
    <w:family w:val="auto"/>
    <w:pitch w:val="default"/>
    <w:sig w:usb0="00000000"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A4" w:rsidRDefault="00FD6F94" w:rsidP="006929A0">
    <w:pPr>
      <w:pStyle w:val="a4"/>
      <w:framePr w:wrap="around" w:vAnchor="text" w:hAnchor="margin" w:xAlign="outside" w:y="1"/>
      <w:ind w:leftChars="100" w:left="320" w:rightChars="100" w:right="320"/>
      <w:jc w:val="center"/>
      <w:rPr>
        <w:rStyle w:val="a5"/>
      </w:rPr>
    </w:pPr>
    <w:r w:rsidRPr="001C40A9">
      <w:rPr>
        <w:rStyle w:val="a5"/>
        <w:rFonts w:ascii="宋体" w:eastAsia="宋体" w:hAnsi="宋体" w:hint="eastAsia"/>
        <w:sz w:val="28"/>
      </w:rPr>
      <w:t>—</w:t>
    </w:r>
    <w:r w:rsidRPr="001C40A9">
      <w:rPr>
        <w:rStyle w:val="a5"/>
        <w:rFonts w:ascii="宋体" w:eastAsia="宋体" w:hAnsi="宋体"/>
        <w:sz w:val="28"/>
      </w:rPr>
      <w:t xml:space="preserve"> </w:t>
    </w:r>
    <w:r w:rsidRPr="001C40A9">
      <w:rPr>
        <w:rStyle w:val="a5"/>
        <w:rFonts w:ascii="宋体" w:eastAsia="宋体" w:hAnsi="宋体"/>
        <w:sz w:val="28"/>
      </w:rPr>
      <w:fldChar w:fldCharType="begin"/>
    </w:r>
    <w:r w:rsidRPr="001C40A9">
      <w:rPr>
        <w:rStyle w:val="a5"/>
        <w:rFonts w:ascii="宋体" w:eastAsia="宋体" w:hAnsi="宋体"/>
        <w:sz w:val="28"/>
      </w:rPr>
      <w:instrText xml:space="preserve">PAGE  </w:instrText>
    </w:r>
    <w:r w:rsidRPr="001C40A9">
      <w:rPr>
        <w:rStyle w:val="a5"/>
        <w:rFonts w:ascii="宋体" w:eastAsia="宋体" w:hAnsi="宋体"/>
        <w:sz w:val="28"/>
      </w:rPr>
      <w:fldChar w:fldCharType="separate"/>
    </w:r>
    <w:r>
      <w:rPr>
        <w:rStyle w:val="a5"/>
        <w:rFonts w:ascii="宋体" w:eastAsia="宋体" w:hAnsi="宋体"/>
        <w:noProof/>
        <w:sz w:val="28"/>
      </w:rPr>
      <w:t>6</w:t>
    </w:r>
    <w:r w:rsidRPr="001C40A9">
      <w:rPr>
        <w:rStyle w:val="a5"/>
        <w:rFonts w:ascii="宋体" w:eastAsia="宋体" w:hAnsi="宋体"/>
        <w:sz w:val="28"/>
      </w:rPr>
      <w:fldChar w:fldCharType="end"/>
    </w:r>
    <w:r w:rsidRPr="001C40A9">
      <w:rPr>
        <w:rStyle w:val="a5"/>
        <w:rFonts w:ascii="宋体" w:eastAsia="宋体" w:hAnsi="宋体"/>
        <w:sz w:val="28"/>
      </w:rPr>
      <w:t xml:space="preserve"> —</w:t>
    </w:r>
  </w:p>
  <w:p w:rsidR="003479A4" w:rsidRPr="001C40A9" w:rsidRDefault="00FD6F94" w:rsidP="001C40A9">
    <w:pPr>
      <w:pStyle w:val="a4"/>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A4" w:rsidRDefault="00FD6F94" w:rsidP="006929A0">
    <w:pPr>
      <w:pStyle w:val="a4"/>
      <w:framePr w:wrap="around" w:vAnchor="text" w:hAnchor="margin" w:xAlign="outside" w:y="1"/>
      <w:ind w:leftChars="100" w:left="320" w:rightChars="100" w:right="320"/>
      <w:jc w:val="center"/>
      <w:rPr>
        <w:rStyle w:val="a5"/>
      </w:rPr>
    </w:pPr>
    <w:r w:rsidRPr="001C40A9">
      <w:rPr>
        <w:rStyle w:val="a5"/>
        <w:rFonts w:ascii="宋体" w:eastAsia="宋体" w:hAnsi="宋体" w:hint="eastAsia"/>
        <w:sz w:val="28"/>
      </w:rPr>
      <w:t>—</w:t>
    </w:r>
    <w:r w:rsidRPr="001C40A9">
      <w:rPr>
        <w:rStyle w:val="a5"/>
        <w:rFonts w:ascii="宋体" w:eastAsia="宋体" w:hAnsi="宋体"/>
        <w:sz w:val="28"/>
      </w:rPr>
      <w:t xml:space="preserve"> </w:t>
    </w:r>
    <w:r w:rsidRPr="001C40A9">
      <w:rPr>
        <w:rStyle w:val="a5"/>
        <w:rFonts w:ascii="宋体" w:eastAsia="宋体" w:hAnsi="宋体"/>
        <w:sz w:val="28"/>
      </w:rPr>
      <w:fldChar w:fldCharType="begin"/>
    </w:r>
    <w:r w:rsidRPr="001C40A9">
      <w:rPr>
        <w:rStyle w:val="a5"/>
        <w:rFonts w:ascii="宋体" w:eastAsia="宋体" w:hAnsi="宋体"/>
        <w:sz w:val="28"/>
      </w:rPr>
      <w:instrText xml:space="preserve">PAGE  </w:instrText>
    </w:r>
    <w:r w:rsidRPr="001C40A9">
      <w:rPr>
        <w:rStyle w:val="a5"/>
        <w:rFonts w:ascii="宋体" w:eastAsia="宋体" w:hAnsi="宋体"/>
        <w:sz w:val="28"/>
      </w:rPr>
      <w:fldChar w:fldCharType="separate"/>
    </w:r>
    <w:r>
      <w:rPr>
        <w:rStyle w:val="a5"/>
        <w:rFonts w:ascii="宋体" w:eastAsia="宋体" w:hAnsi="宋体"/>
        <w:noProof/>
        <w:sz w:val="28"/>
      </w:rPr>
      <w:t>6</w:t>
    </w:r>
    <w:r w:rsidRPr="001C40A9">
      <w:rPr>
        <w:rStyle w:val="a5"/>
        <w:rFonts w:ascii="宋体" w:eastAsia="宋体" w:hAnsi="宋体"/>
        <w:sz w:val="28"/>
      </w:rPr>
      <w:fldChar w:fldCharType="end"/>
    </w:r>
    <w:r w:rsidRPr="001C40A9">
      <w:rPr>
        <w:rStyle w:val="a5"/>
        <w:rFonts w:ascii="宋体" w:eastAsia="宋体" w:hAnsi="宋体"/>
        <w:sz w:val="28"/>
      </w:rPr>
      <w:t xml:space="preserve"> —</w:t>
    </w:r>
  </w:p>
  <w:p w:rsidR="003479A4" w:rsidRPr="001C40A9" w:rsidRDefault="00FD6F94" w:rsidP="001C40A9">
    <w:pPr>
      <w:pStyle w:val="a4"/>
      <w:ind w:right="360" w:firstLine="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99" w:rsidRDefault="00FD6F94">
    <w:pPr>
      <w:pStyle w:val="a4"/>
      <w:jc w:val="right"/>
    </w:pPr>
    <w:r>
      <w:fldChar w:fldCharType="begin"/>
    </w:r>
    <w:r>
      <w:instrText>PAGE   \* MERGEFORMAT</w:instrText>
    </w:r>
    <w:r>
      <w:fldChar w:fldCharType="separate"/>
    </w:r>
    <w:r w:rsidRPr="00F84899">
      <w:rPr>
        <w:noProof/>
        <w:lang w:val="zh-CN"/>
      </w:rPr>
      <w:t>1</w:t>
    </w:r>
    <w:r>
      <w:fldChar w:fldCharType="end"/>
    </w:r>
  </w:p>
  <w:p w:rsidR="00F84899" w:rsidRDefault="00FD6F94">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A4" w:rsidRDefault="00FD6F94" w:rsidP="00627F6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D4"/>
    <w:rsid w:val="00004267"/>
    <w:rsid w:val="00075BBC"/>
    <w:rsid w:val="00093251"/>
    <w:rsid w:val="000C734B"/>
    <w:rsid w:val="0016404C"/>
    <w:rsid w:val="00176A7E"/>
    <w:rsid w:val="00260E04"/>
    <w:rsid w:val="002835C7"/>
    <w:rsid w:val="002C324E"/>
    <w:rsid w:val="002D453A"/>
    <w:rsid w:val="002F7C1E"/>
    <w:rsid w:val="00331035"/>
    <w:rsid w:val="00365E9E"/>
    <w:rsid w:val="00374354"/>
    <w:rsid w:val="00375DE4"/>
    <w:rsid w:val="003E75D4"/>
    <w:rsid w:val="004122DB"/>
    <w:rsid w:val="004A7AF5"/>
    <w:rsid w:val="004C5CC7"/>
    <w:rsid w:val="004F06D4"/>
    <w:rsid w:val="004F4D7D"/>
    <w:rsid w:val="004F6D01"/>
    <w:rsid w:val="005A4197"/>
    <w:rsid w:val="005B04C8"/>
    <w:rsid w:val="005D1C38"/>
    <w:rsid w:val="00636C56"/>
    <w:rsid w:val="006553E7"/>
    <w:rsid w:val="006A046D"/>
    <w:rsid w:val="006F4BA9"/>
    <w:rsid w:val="007446A4"/>
    <w:rsid w:val="00777751"/>
    <w:rsid w:val="007A2DBE"/>
    <w:rsid w:val="007D36B9"/>
    <w:rsid w:val="007D3916"/>
    <w:rsid w:val="00802FC6"/>
    <w:rsid w:val="00823EC1"/>
    <w:rsid w:val="008661FA"/>
    <w:rsid w:val="008A5D5E"/>
    <w:rsid w:val="008A6F3A"/>
    <w:rsid w:val="00905F97"/>
    <w:rsid w:val="00912F60"/>
    <w:rsid w:val="00955F64"/>
    <w:rsid w:val="0099212E"/>
    <w:rsid w:val="00995F8D"/>
    <w:rsid w:val="009B7111"/>
    <w:rsid w:val="009F029E"/>
    <w:rsid w:val="00A410F5"/>
    <w:rsid w:val="00A7011F"/>
    <w:rsid w:val="00A84882"/>
    <w:rsid w:val="00AA2AB1"/>
    <w:rsid w:val="00AE0559"/>
    <w:rsid w:val="00B34FA5"/>
    <w:rsid w:val="00BE4D73"/>
    <w:rsid w:val="00C35146"/>
    <w:rsid w:val="00C81AD0"/>
    <w:rsid w:val="00CE157C"/>
    <w:rsid w:val="00D12C70"/>
    <w:rsid w:val="00D36795"/>
    <w:rsid w:val="00D765B4"/>
    <w:rsid w:val="00D826C9"/>
    <w:rsid w:val="00DE79A4"/>
    <w:rsid w:val="00DF4EB0"/>
    <w:rsid w:val="00DF536D"/>
    <w:rsid w:val="00E04602"/>
    <w:rsid w:val="00E14C6E"/>
    <w:rsid w:val="00E32AB4"/>
    <w:rsid w:val="00E5326F"/>
    <w:rsid w:val="00E84ABD"/>
    <w:rsid w:val="00EE4907"/>
    <w:rsid w:val="00EF08AB"/>
    <w:rsid w:val="00F57628"/>
    <w:rsid w:val="00F85846"/>
    <w:rsid w:val="00FB469B"/>
    <w:rsid w:val="00FD6F94"/>
    <w:rsid w:val="00FF3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6D4"/>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F06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F06D4"/>
    <w:rPr>
      <w:rFonts w:ascii="Times New Roman" w:eastAsia="仿宋_GB2312" w:hAnsi="Times New Roman" w:cs="Times New Roman"/>
      <w:sz w:val="18"/>
      <w:szCs w:val="18"/>
    </w:rPr>
  </w:style>
  <w:style w:type="paragraph" w:styleId="a4">
    <w:name w:val="footer"/>
    <w:basedOn w:val="a"/>
    <w:link w:val="Char0"/>
    <w:uiPriority w:val="99"/>
    <w:rsid w:val="004F06D4"/>
    <w:pPr>
      <w:tabs>
        <w:tab w:val="center" w:pos="4153"/>
        <w:tab w:val="right" w:pos="8306"/>
      </w:tabs>
      <w:snapToGrid w:val="0"/>
      <w:jc w:val="left"/>
    </w:pPr>
    <w:rPr>
      <w:sz w:val="18"/>
      <w:szCs w:val="18"/>
    </w:rPr>
  </w:style>
  <w:style w:type="character" w:customStyle="1" w:styleId="Char0">
    <w:name w:val="页脚 Char"/>
    <w:basedOn w:val="a0"/>
    <w:link w:val="a4"/>
    <w:uiPriority w:val="99"/>
    <w:rsid w:val="004F06D4"/>
    <w:rPr>
      <w:rFonts w:ascii="Times New Roman" w:eastAsia="仿宋_GB2312" w:hAnsi="Times New Roman" w:cs="Times New Roman"/>
      <w:sz w:val="18"/>
      <w:szCs w:val="18"/>
    </w:rPr>
  </w:style>
  <w:style w:type="character" w:styleId="a5">
    <w:name w:val="page number"/>
    <w:basedOn w:val="a0"/>
    <w:rsid w:val="004F06D4"/>
  </w:style>
  <w:style w:type="paragraph" w:customStyle="1" w:styleId="CharCharCharCharCharCharChar">
    <w:name w:val="Char Char Char Char Char Char Char"/>
    <w:basedOn w:val="a"/>
    <w:rsid w:val="004F06D4"/>
    <w:rPr>
      <w:rFonts w:eastAsia="宋体"/>
      <w:sz w:val="21"/>
    </w:rPr>
  </w:style>
  <w:style w:type="paragraph" w:styleId="a6">
    <w:name w:val="List Paragraph"/>
    <w:basedOn w:val="a"/>
    <w:uiPriority w:val="34"/>
    <w:qFormat/>
    <w:rsid w:val="004F06D4"/>
    <w:pPr>
      <w:ind w:firstLineChars="200" w:firstLine="420"/>
    </w:pPr>
    <w:rPr>
      <w:rFonts w:eastAsia="宋体"/>
      <w:sz w:val="21"/>
    </w:rPr>
  </w:style>
  <w:style w:type="paragraph" w:styleId="a7">
    <w:name w:val="Balloon Text"/>
    <w:basedOn w:val="a"/>
    <w:link w:val="Char1"/>
    <w:uiPriority w:val="99"/>
    <w:semiHidden/>
    <w:unhideWhenUsed/>
    <w:rsid w:val="004F06D4"/>
    <w:rPr>
      <w:sz w:val="18"/>
      <w:szCs w:val="18"/>
    </w:rPr>
  </w:style>
  <w:style w:type="character" w:customStyle="1" w:styleId="Char1">
    <w:name w:val="批注框文本 Char"/>
    <w:basedOn w:val="a0"/>
    <w:link w:val="a7"/>
    <w:uiPriority w:val="99"/>
    <w:semiHidden/>
    <w:rsid w:val="004F06D4"/>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6D4"/>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F06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F06D4"/>
    <w:rPr>
      <w:rFonts w:ascii="Times New Roman" w:eastAsia="仿宋_GB2312" w:hAnsi="Times New Roman" w:cs="Times New Roman"/>
      <w:sz w:val="18"/>
      <w:szCs w:val="18"/>
    </w:rPr>
  </w:style>
  <w:style w:type="paragraph" w:styleId="a4">
    <w:name w:val="footer"/>
    <w:basedOn w:val="a"/>
    <w:link w:val="Char0"/>
    <w:uiPriority w:val="99"/>
    <w:rsid w:val="004F06D4"/>
    <w:pPr>
      <w:tabs>
        <w:tab w:val="center" w:pos="4153"/>
        <w:tab w:val="right" w:pos="8306"/>
      </w:tabs>
      <w:snapToGrid w:val="0"/>
      <w:jc w:val="left"/>
    </w:pPr>
    <w:rPr>
      <w:sz w:val="18"/>
      <w:szCs w:val="18"/>
    </w:rPr>
  </w:style>
  <w:style w:type="character" w:customStyle="1" w:styleId="Char0">
    <w:name w:val="页脚 Char"/>
    <w:basedOn w:val="a0"/>
    <w:link w:val="a4"/>
    <w:uiPriority w:val="99"/>
    <w:rsid w:val="004F06D4"/>
    <w:rPr>
      <w:rFonts w:ascii="Times New Roman" w:eastAsia="仿宋_GB2312" w:hAnsi="Times New Roman" w:cs="Times New Roman"/>
      <w:sz w:val="18"/>
      <w:szCs w:val="18"/>
    </w:rPr>
  </w:style>
  <w:style w:type="character" w:styleId="a5">
    <w:name w:val="page number"/>
    <w:basedOn w:val="a0"/>
    <w:rsid w:val="004F06D4"/>
  </w:style>
  <w:style w:type="paragraph" w:customStyle="1" w:styleId="CharCharCharCharCharCharChar">
    <w:name w:val="Char Char Char Char Char Char Char"/>
    <w:basedOn w:val="a"/>
    <w:rsid w:val="004F06D4"/>
    <w:rPr>
      <w:rFonts w:eastAsia="宋体"/>
      <w:sz w:val="21"/>
    </w:rPr>
  </w:style>
  <w:style w:type="paragraph" w:styleId="a6">
    <w:name w:val="List Paragraph"/>
    <w:basedOn w:val="a"/>
    <w:uiPriority w:val="34"/>
    <w:qFormat/>
    <w:rsid w:val="004F06D4"/>
    <w:pPr>
      <w:ind w:firstLineChars="200" w:firstLine="420"/>
    </w:pPr>
    <w:rPr>
      <w:rFonts w:eastAsia="宋体"/>
      <w:sz w:val="21"/>
    </w:rPr>
  </w:style>
  <w:style w:type="paragraph" w:styleId="a7">
    <w:name w:val="Balloon Text"/>
    <w:basedOn w:val="a"/>
    <w:link w:val="Char1"/>
    <w:uiPriority w:val="99"/>
    <w:semiHidden/>
    <w:unhideWhenUsed/>
    <w:rsid w:val="004F06D4"/>
    <w:rPr>
      <w:sz w:val="18"/>
      <w:szCs w:val="18"/>
    </w:rPr>
  </w:style>
  <w:style w:type="character" w:customStyle="1" w:styleId="Char1">
    <w:name w:val="批注框文本 Char"/>
    <w:basedOn w:val="a0"/>
    <w:link w:val="a7"/>
    <w:uiPriority w:val="99"/>
    <w:semiHidden/>
    <w:rsid w:val="004F06D4"/>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文印室</dc:creator>
  <cp:lastModifiedBy>文印室</cp:lastModifiedBy>
  <cp:revision>2</cp:revision>
  <cp:lastPrinted>2018-07-13T00:45:00Z</cp:lastPrinted>
  <dcterms:created xsi:type="dcterms:W3CDTF">2018-07-13T00:42:00Z</dcterms:created>
  <dcterms:modified xsi:type="dcterms:W3CDTF">2018-07-13T00:45:00Z</dcterms:modified>
</cp:coreProperties>
</file>