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60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pict>
          <v:line id="_x0000_s1026" o:spid="_x0000_s1026" o:spt="20" style="position:absolute;left:0pt;flip:y;margin-left:-10.2pt;margin-top:97.6pt;height:0.75pt;width:435.8pt;z-index:251659264;mso-width-relative:page;mso-height-relative:page;" stroked="t" coordsize="21600,21600">
            <v:path arrowok="t"/>
            <v:fill focussize="0,0"/>
            <v:stroke weight="2.25pt" color="#FF0000" joinstyle="miter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pacing w:val="-11"/>
          <w:w w:val="55"/>
          <w:sz w:val="100"/>
          <w:szCs w:val="100"/>
        </w:rPr>
        <w:t>苍南县“看不见垃圾”环境整治专班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苍南县“看不见垃圾”环境整治周通报</w:t>
      </w:r>
    </w:p>
    <w:p>
      <w:pPr>
        <w:spacing w:line="720" w:lineRule="exact"/>
        <w:jc w:val="center"/>
        <w:rPr>
          <w:rFonts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（第</w:t>
      </w: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期）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为持续推进我县“看不见垃圾”环境整治工作，全面改善我县全域环境卫生面貌。根据《苍南县“看不见垃圾”环境整治常态化考评办法》要求，现将全县环境整治周进展情况通报如下：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（一）问题点位整治情况。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全县累计发现问题点位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处（其中乡镇自查发现点位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97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处，专班巡查发现点位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处），完成整治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处，整治率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。本期核查点位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处，核查真实率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（二）“整治不力村居”销号情况。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日，全县评出“整治不力村居”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个，通过验收销号村居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个，剩余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个“整治不力村居”未销号。</w:t>
      </w:r>
    </w:p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（三）垃圾桶撤并情况。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color w:val="auto"/>
          <w:sz w:val="32"/>
          <w:szCs w:val="32"/>
        </w:rPr>
        <w:t>经“看不见垃圾”专班巡查人员核查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，撤桶并点率除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望里镇（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矾山镇（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）、凤阳乡（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）、岱岭乡（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）、霞关镇（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大渔镇（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莒溪镇（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赤溪镇（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）、外，其余乡镇均低于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，其中灵溪镇（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）、钱库镇（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对于主要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城区撤桶率已达100%的乡镇，将开展进城区主要道路的垃圾桶排查并纳入统计基数，请相关乡镇做好入城区干道的撤桶工作。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（四）“两定四分”点位运行情况。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color w:val="auto"/>
          <w:sz w:val="32"/>
          <w:szCs w:val="32"/>
        </w:rPr>
        <w:t>各乡镇都已接入环卫一体化平台系统，其中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还未全部完成接入</w:t>
      </w:r>
      <w:r>
        <w:rPr>
          <w:rFonts w:hint="eastAsia" w:ascii="仿宋_GB2312" w:eastAsia="仿宋_GB2312"/>
          <w:color w:val="auto"/>
          <w:sz w:val="32"/>
          <w:szCs w:val="32"/>
        </w:rPr>
        <w:t>的乡镇有：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灵溪镇、金乡镇</w:t>
      </w:r>
      <w:r>
        <w:rPr>
          <w:rFonts w:hint="eastAsia" w:ascii="仿宋_GB2312" w:eastAsia="仿宋_GB2312"/>
          <w:color w:val="auto"/>
          <w:sz w:val="32"/>
          <w:szCs w:val="32"/>
        </w:rPr>
        <w:t>；在分类转运、分类直运体系建设方面，部分乡镇已完成车辆配备，明确收运路线和时间，但均未按规定开展分类收运；在劝导员配备方面，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钱库镇、</w:t>
      </w:r>
      <w:r>
        <w:rPr>
          <w:rFonts w:hint="eastAsia" w:ascii="仿宋_GB2312" w:eastAsia="仿宋_GB2312"/>
          <w:color w:val="auto"/>
          <w:sz w:val="32"/>
          <w:szCs w:val="32"/>
        </w:rPr>
        <w:t>望里镇、矾山镇、赤溪镇、南宋镇、大渔镇、凤阳乡、岱岭乡已按要求完成全部点位配备并上岗到位，桥墩镇、藻溪镇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、莒溪镇</w:t>
      </w:r>
      <w:r>
        <w:rPr>
          <w:rFonts w:hint="eastAsia" w:ascii="仿宋_GB2312" w:eastAsia="仿宋_GB2312"/>
          <w:color w:val="auto"/>
          <w:sz w:val="32"/>
          <w:szCs w:val="32"/>
        </w:rPr>
        <w:t>劝导员已完成配备但未全部在岗，灵溪镇、金乡镇等已有部分点位完成配备并上岗到位，其余乡镇劝导员还未配备到位。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（五）建筑垃圾堆放点运维情况。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color w:val="auto"/>
          <w:sz w:val="32"/>
          <w:szCs w:val="32"/>
        </w:rPr>
        <w:t>根据“看不见垃圾”专班巡查人员核查，在专业运输队伍建立方面，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除望里镇、炎亭镇、沿浦镇、凤阳乡、岱岭乡外，其余乡镇均</w:t>
      </w:r>
      <w:r>
        <w:rPr>
          <w:rFonts w:hint="eastAsia" w:ascii="仿宋_GB2312" w:eastAsia="仿宋_GB2312"/>
          <w:color w:val="auto"/>
          <w:sz w:val="32"/>
          <w:szCs w:val="32"/>
        </w:rPr>
        <w:t>已完成建立并向社会进行公示。在场地管理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运维</w:t>
      </w:r>
      <w:r>
        <w:rPr>
          <w:rFonts w:hint="eastAsia" w:ascii="仿宋_GB2312" w:eastAsia="仿宋_GB2312"/>
          <w:color w:val="auto"/>
          <w:sz w:val="32"/>
          <w:szCs w:val="32"/>
        </w:rPr>
        <w:t>方面，大渔镇场地还未封闭；岱岭乡未落实管理人员进行分拣；凤阳乡仅落实场地，四要素均不具备；其余乡镇已具备场地封闭、专人管理分拣、制度上墙执行等三要素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，其中钱库镇、南宋镇场地内垃圾未及时开展分拣；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桥墩镇、赤溪镇场地较为脏乱，场地内垃圾未及时开展分拣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left="2078" w:leftChars="304" w:hanging="1440" w:hangingChars="4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78" w:leftChars="304" w:hanging="1440" w:hangingChars="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苍南县“看不见垃圾”环境整治工作进度表</w:t>
      </w:r>
    </w:p>
    <w:p>
      <w:pPr>
        <w:pStyle w:val="2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“脏乱垃圾桶”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点位曝光台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苍南县“看不见垃圾”环境整治专班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pgSz w:w="11906" w:h="16838"/>
          <w:pgMar w:top="1100" w:right="1800" w:bottom="110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ind w:firstLine="1760" w:firstLineChars="4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苍南县“看不见垃圾”环境整治工作进度表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（截至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月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日）</w:t>
      </w:r>
    </w:p>
    <w:tbl>
      <w:tblPr>
        <w:tblStyle w:val="6"/>
        <w:tblW w:w="15448" w:type="dxa"/>
        <w:tblInd w:w="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64"/>
        <w:gridCol w:w="1560"/>
        <w:gridCol w:w="1255"/>
        <w:gridCol w:w="1355"/>
        <w:gridCol w:w="1648"/>
        <w:gridCol w:w="1275"/>
        <w:gridCol w:w="1470"/>
        <w:gridCol w:w="1215"/>
        <w:gridCol w:w="1485"/>
        <w:gridCol w:w="1425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乡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镇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点位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自查整改率</w:t>
            </w:r>
          </w:p>
          <w:p>
            <w:pPr>
              <w:pStyle w:val="2"/>
              <w:spacing w:line="300" w:lineRule="exact"/>
              <w:ind w:left="0" w:leftChars="0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00" w:lineRule="exact"/>
              <w:ind w:left="0" w:leftChars="0" w:firstLine="240" w:firstLineChars="100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看不见垃圾桶（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分）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两定四分点位运行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建筑垃圾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堆放点运维</w:t>
            </w:r>
          </w:p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10</w:t>
            </w:r>
            <w:r>
              <w:rPr>
                <w:rFonts w:hint="eastAsia" w:ascii="黑体" w:hAnsi="黑体" w:eastAsia="黑体" w:cs="黑体"/>
                <w:sz w:val="24"/>
              </w:rPr>
              <w:t>分）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周得分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两定四分</w:t>
            </w:r>
          </w:p>
          <w:p>
            <w:pPr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点位数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多余垃圾</w:t>
            </w:r>
          </w:p>
          <w:p>
            <w:pPr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桶数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撤桶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并点率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定时投放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劝导员履职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分类运输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矾山镇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9506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89.87%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52.97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霞关镇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8730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92.48%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48.50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莒溪镇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5962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93.15%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1.43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44.06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望里镇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12995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93.50%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43.70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岱岭乡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3084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92.47%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43.49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藻溪镇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11167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89.80%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42.86%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2.00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4.33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42.86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大渔镇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5893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88.67%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42.73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1688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86.23%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42.25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赤溪镇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7633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92.97%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41.59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马站镇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13630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90.38%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50.00%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2.00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40.08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南宋镇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7153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94.04%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25.00%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2.50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39.31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桥墩镇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14561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93.21%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35.29%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1.67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3.75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37.12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金乡镇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22533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91.50%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42.27%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0.12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36.87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钱库镇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19482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89.99%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306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16.39%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34.28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72853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95.69%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2899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10.99%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2.79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34.13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宜山镇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16107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91.40%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22.58%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0.48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33.28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沿浦镇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9233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90.49%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35.00%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25.10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炎亭镇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4337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84.80%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33.33%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 xml:space="preserve">23.63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18</w:t>
            </w:r>
          </w:p>
        </w:tc>
      </w:tr>
    </w:tbl>
    <w:p>
      <w:pPr>
        <w:ind w:left="1263" w:leftChars="200" w:hanging="843" w:hangingChars="400"/>
        <w:rPr>
          <w:rFonts w:ascii="宋体" w:cs="宋体"/>
          <w:b/>
          <w:bCs/>
        </w:rPr>
        <w:sectPr>
          <w:pgSz w:w="16838" w:h="11906" w:orient="landscape"/>
          <w:pgMar w:top="1519" w:right="590" w:bottom="1519" w:left="590" w:header="851" w:footer="992" w:gutter="0"/>
          <w:cols w:space="0" w:num="1"/>
          <w:docGrid w:type="lines" w:linePitch="319" w:charSpace="0"/>
        </w:sectPr>
      </w:pPr>
      <w:r>
        <w:rPr>
          <w:rFonts w:hint="eastAsia"/>
          <w:b/>
          <w:bCs/>
        </w:rPr>
        <w:t>备注：</w:t>
      </w:r>
      <w:r>
        <w:rPr>
          <w:b/>
          <w:bCs/>
        </w:rPr>
        <w:t>1.</w:t>
      </w:r>
      <w:r>
        <w:rPr>
          <w:rFonts w:hint="eastAsia" w:ascii="宋体" w:hAnsi="宋体" w:cs="宋体"/>
          <w:b/>
          <w:bCs/>
        </w:rPr>
        <w:t>自查整改率</w:t>
      </w:r>
      <w:r>
        <w:rPr>
          <w:rFonts w:ascii="宋体" w:hAnsi="宋体" w:cs="宋体"/>
          <w:b/>
          <w:bCs/>
        </w:rPr>
        <w:t>=</w:t>
      </w:r>
      <w:r>
        <w:rPr>
          <w:rFonts w:hint="eastAsia" w:ascii="宋体" w:hAnsi="宋体" w:cs="宋体"/>
          <w:b/>
          <w:bCs/>
        </w:rPr>
        <w:t>（累计自查数</w:t>
      </w:r>
      <w:r>
        <w:rPr>
          <w:rFonts w:ascii="宋体" w:hAnsi="宋体" w:cs="宋体"/>
          <w:b/>
          <w:bCs/>
        </w:rPr>
        <w:t>+</w:t>
      </w:r>
      <w:r>
        <w:rPr>
          <w:rFonts w:hint="eastAsia" w:ascii="宋体" w:hAnsi="宋体" w:cs="宋体"/>
          <w:b/>
          <w:bCs/>
        </w:rPr>
        <w:t>新增自查数×核查真实率）</w:t>
      </w:r>
      <w:r>
        <w:rPr>
          <w:rFonts w:ascii="宋体" w:hAnsi="宋体" w:cs="宋体"/>
          <w:b/>
          <w:bCs/>
        </w:rPr>
        <w:t>/(</w:t>
      </w:r>
      <w:r>
        <w:rPr>
          <w:rFonts w:hint="eastAsia" w:ascii="宋体" w:hAnsi="宋体" w:cs="宋体"/>
          <w:b/>
          <w:bCs/>
        </w:rPr>
        <w:t>累计点位数</w:t>
      </w:r>
      <w:r>
        <w:rPr>
          <w:rFonts w:ascii="宋体" w:hAnsi="宋体" w:cs="宋体"/>
          <w:b/>
          <w:bCs/>
        </w:rPr>
        <w:t>+</w:t>
      </w:r>
      <w:r>
        <w:rPr>
          <w:rFonts w:hint="eastAsia" w:ascii="宋体" w:hAnsi="宋体" w:cs="宋体"/>
          <w:b/>
          <w:bCs/>
        </w:rPr>
        <w:t>新增县级巡查数×</w:t>
      </w:r>
      <w:r>
        <w:rPr>
          <w:rFonts w:ascii="宋体" w:hAnsi="宋体" w:cs="宋体"/>
          <w:b/>
          <w:bCs/>
        </w:rPr>
        <w:t>10</w:t>
      </w:r>
      <w:r>
        <w:rPr>
          <w:rFonts w:hint="eastAsia" w:ascii="宋体" w:hAnsi="宋体" w:cs="宋体"/>
          <w:b/>
          <w:bCs/>
        </w:rPr>
        <w:t>）；</w:t>
      </w:r>
      <w:r>
        <w:rPr>
          <w:rFonts w:ascii="宋体" w:hAnsi="宋体" w:cs="宋体"/>
          <w:b/>
          <w:bCs/>
        </w:rPr>
        <w:t>2.</w:t>
      </w:r>
      <w:r>
        <w:rPr>
          <w:rFonts w:hint="eastAsia" w:ascii="宋体" w:hAnsi="宋体" w:cs="宋体"/>
          <w:b/>
          <w:bCs/>
        </w:rPr>
        <w:t>撤桶并点率</w:t>
      </w:r>
      <w:r>
        <w:rPr>
          <w:rFonts w:ascii="宋体" w:hAnsi="宋体" w:cs="宋体"/>
          <w:b/>
          <w:bCs/>
        </w:rPr>
        <w:t>=</w:t>
      </w:r>
      <w:r>
        <w:rPr>
          <w:rFonts w:hint="eastAsia" w:ascii="宋体" w:hAnsi="宋体" w:cs="宋体"/>
          <w:b/>
          <w:bCs/>
        </w:rPr>
        <w:t>两定四分点位数</w:t>
      </w:r>
      <w:r>
        <w:rPr>
          <w:rFonts w:ascii="宋体" w:hAnsi="宋体" w:cs="宋体"/>
          <w:b/>
          <w:bCs/>
        </w:rPr>
        <w:t>/</w:t>
      </w:r>
      <w:r>
        <w:rPr>
          <w:rFonts w:hint="eastAsia" w:ascii="宋体" w:hAnsi="宋体" w:cs="宋体"/>
          <w:b/>
          <w:bCs/>
        </w:rPr>
        <w:t>（两定四分点位数</w:t>
      </w:r>
      <w:r>
        <w:rPr>
          <w:rFonts w:ascii="宋体" w:hAnsi="宋体" w:cs="宋体"/>
          <w:b/>
          <w:bCs/>
        </w:rPr>
        <w:t>+</w:t>
      </w:r>
      <w:r>
        <w:rPr>
          <w:rFonts w:hint="eastAsia" w:ascii="宋体" w:hAnsi="宋体" w:cs="宋体"/>
          <w:b/>
          <w:bCs/>
        </w:rPr>
        <w:t>多余垃圾桶数）；</w:t>
      </w:r>
      <w:r>
        <w:rPr>
          <w:rFonts w:ascii="宋体" w:hAnsi="宋体" w:cs="宋体"/>
          <w:b/>
          <w:bCs/>
        </w:rPr>
        <w:t>3.</w:t>
      </w:r>
      <w:r>
        <w:rPr>
          <w:rFonts w:hint="eastAsia" w:ascii="宋体" w:hAnsi="宋体" w:cs="宋体"/>
          <w:b/>
          <w:bCs/>
        </w:rPr>
        <w:t>周得分不计“四边三化”和村居环境巩固得分。</w:t>
      </w:r>
    </w:p>
    <w:tbl>
      <w:tblPr>
        <w:tblStyle w:val="6"/>
        <w:tblpPr w:leftFromText="180" w:rightFromText="180" w:vertAnchor="text" w:horzAnchor="page" w:tblpX="1726" w:tblpY="990"/>
        <w:tblOverlap w:val="never"/>
        <w:tblW w:w="126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85"/>
        <w:gridCol w:w="1860"/>
        <w:gridCol w:w="8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6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方正小标宋简体" w:cs="黑体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“脏乱垃圾桶”点位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曝光台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乡镇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街道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小区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典型点位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灵溪镇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江滨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路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eastAsia="zh-CN"/>
              </w:rPr>
              <w:pict>
                <v:shape id="_x0000_i1025" o:spt="75" alt="662867dca14dfdd8f730f2c9c1c3def4_" type="#_x0000_t75" style="height:142.65pt;width:400.5pt;" filled="f" o:preferrelative="t" stroked="f" coordsize="21600,21600">
                  <v:path/>
                  <v:fill on="f" focussize="0,0"/>
                  <v:stroke on="f"/>
                  <v:imagedata r:id="rId4" o:title="662867dca14dfdd8f730f2c9c1c3def4_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灵溪镇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仁英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路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i1026" o:spt="75" alt="9735b28ad8abb1cbff348392875fe437_" type="#_x0000_t75" style="height:153.2pt;width:400.5pt;" filled="f" o:preferrelative="t" stroked="f" coordsize="21600,21600">
                  <v:path/>
                  <v:fill on="f" focussize="0,0"/>
                  <v:stroke on="f"/>
                  <v:imagedata r:id="rId5" o:title="9735b28ad8abb1cbff348392875fe437_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金乡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城北大街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s1036" o:spid="_x0000_s1036" o:spt="75" alt="2635457f60c6da7b027349675b77f85f_" type="#_x0000_t75" style="position:absolute;left:0pt;margin-left:0pt;margin-top:4.35pt;height:195.35pt;width:400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6" o:title="2635457f60c6da7b027349675b77f85f_"/>
                  <o:lock v:ext="edit" aspectratio="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金乡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东风大道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s1037" o:spid="_x0000_s1037" o:spt="75" alt="38a7cd832358186e6c1a67152491244d_" type="#_x0000_t75" style="position:absolute;left:0pt;margin-left:-1.5pt;margin-top:4.05pt;height:193.75pt;width:400pt;z-index:251661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7" o:title="38a7cd832358186e6c1a67152491244d_"/>
                  <o:lock v:ext="edit" aspectratio="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金乡镇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园兴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路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s1038" o:spid="_x0000_s1038" o:spt="75" alt="d5f5f0e7ac1e1a6da3ee82f8af54a0e8_" type="#_x0000_t75" style="position:absolute;left:0pt;margin-left:-0.75pt;margin-top:5.05pt;height:212.7pt;width:403.75pt;z-index:251662336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d5f5f0e7ac1e1a6da3ee82f8af54a0e8_"/>
                  <o:lock v:ext="edit" aspectratio="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钱库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绿波南路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s1039" o:spid="_x0000_s1039" o:spt="75" alt="2901494f8babd1e0fe816aef49e61953_" type="#_x0000_t75" style="position:absolute;left:0pt;margin-left:-3pt;margin-top:8.55pt;height:181.7pt;width:405pt;z-index:251663360;mso-width-relative:page;mso-height-relative:page;" filled="f" o:preferrelative="t" stroked="f" coordsize="21600,21600">
                  <v:path/>
                  <v:fill on="f" focussize="0,0"/>
                  <v:stroke on="f"/>
                  <v:imagedata r:id="rId9" o:title="2901494f8babd1e0fe816aef49e61953_"/>
                  <o:lock v:ext="edit" aspectratio="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钱库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南国佳园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i1027" o:spt="75" alt="3a4bfb4823790d086219016d63ea1c4e_" type="#_x0000_t75" style="height:206.4pt;width:403.5pt;" filled="f" o:preferrelative="t" stroked="f" coordsize="21600,21600">
                  <v:path/>
                  <v:fill on="f" focussize="0,0"/>
                  <v:stroke on="f"/>
                  <v:imagedata r:id="rId10" o:title="3a4bfb4823790d086219016d63ea1c4e_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宜山镇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建兴路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s1042" o:spid="_x0000_s1042" o:spt="75" alt="f4da208a9e6d9dfbc9a75ef83f68811b_" type="#_x0000_t75" style="position:absolute;left:0pt;margin-left:-1.5pt;margin-top:2.05pt;height:207.95pt;width:404.2pt;z-index:251666432;mso-width-relative:page;mso-height-relative:page;" filled="f" o:preferrelative="t" stroked="f" coordsize="21600,21600">
                  <v:path/>
                  <v:fill on="f" focussize="0,0"/>
                  <v:stroke on="f"/>
                  <v:imagedata r:id="rId11" o:title="f4da208a9e6d9dfbc9a75ef83f68811b_"/>
                  <o:lock v:ext="edit" aspectratio="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桥墩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云山西街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bdr w:val="single" w:color="000000" w:sz="4" w:space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bdr w:val="single" w:color="000000" w:sz="4" w:space="0"/>
                <w:lang w:eastAsia="zh-CN"/>
              </w:rPr>
              <w:pict>
                <v:shape id="_x0000_s1040" o:spid="_x0000_s1040" o:spt="75" alt="10f6126f82e7499562e10e199493c387_" type="#_x0000_t75" style="position:absolute;left:0pt;margin-left:0pt;margin-top:2.7pt;height:193.35pt;width:403.3pt;z-index:251664384;mso-width-relative:page;mso-height-relative:page;" filled="f" o:preferrelative="t" stroked="f" coordsize="21600,21600">
                  <v:path/>
                  <v:fill on="f" focussize="0,0"/>
                  <v:stroke on="f"/>
                  <v:imagedata r:id="rId12" o:title="10f6126f82e7499562e10e199493c387_"/>
                  <o:lock v:ext="edit" aspectratio="t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炎亭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海滨路</w:t>
            </w:r>
          </w:p>
        </w:tc>
        <w:tc>
          <w:tcPr>
            <w:tcW w:w="8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bdr w:val="single" w:color="000000" w:sz="4" w:space="0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bdr w:val="single" w:color="000000" w:sz="4" w:space="0"/>
                <w:lang w:eastAsia="zh-CN"/>
              </w:rPr>
              <w:pict>
                <v:shape id="_x0000_s1041" o:spid="_x0000_s1041" o:spt="75" alt="743cb508b79be22f3bf781e6a8574de0_" type="#_x0000_t75" style="position:absolute;left:0pt;margin-left:-1.5pt;margin-top:3.9pt;height:205.05pt;width:404.5pt;z-index:251665408;mso-width-relative:page;mso-height-relative:page;" filled="f" o:preferrelative="t" stroked="f" coordsize="21600,21600">
                  <v:path/>
                  <v:fill on="f" focussize="0,0"/>
                  <v:stroke on="f"/>
                  <v:imagedata r:id="rId13" o:title="743cb508b79be22f3bf781e6a8574de0_"/>
                  <o:lock v:ext="edit" aspectratio="t"/>
                </v:shape>
              </w:pict>
            </w:r>
          </w:p>
        </w:tc>
      </w:tr>
    </w:tbl>
    <w:p>
      <w:pPr>
        <w:pStyle w:val="2"/>
        <w:ind w:left="0" w:leftChars="0"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0" w:leftChars="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0" w:leftChars="0"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0" w:leftChars="0"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0" w:leftChars="0"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3168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3168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31680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left="31680"/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236" w:right="646" w:bottom="1236" w:left="53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千阙行书">
    <w:panose1 w:val="00000000000000000000"/>
    <w:charset w:val="86"/>
    <w:family w:val="auto"/>
    <w:pitch w:val="default"/>
    <w:sig w:usb0="00000000" w:usb1="00000000" w:usb2="00000000" w:usb3="00000000" w:csb0="00140001" w:csb1="00000000"/>
  </w:font>
  <w:font w:name="余生温柔都给你">
    <w:panose1 w:val="02000000000000000000"/>
    <w:charset w:val="86"/>
    <w:family w:val="auto"/>
    <w:pitch w:val="default"/>
    <w:sig w:usb0="00000001" w:usb1="08010C10" w:usb2="00000012" w:usb3="00000000" w:csb0="001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超粗圆简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637807"/>
    <w:rsid w:val="000445E5"/>
    <w:rsid w:val="003445CF"/>
    <w:rsid w:val="00383ED2"/>
    <w:rsid w:val="004C04E3"/>
    <w:rsid w:val="005B0AB8"/>
    <w:rsid w:val="00665F90"/>
    <w:rsid w:val="0073586B"/>
    <w:rsid w:val="007E0016"/>
    <w:rsid w:val="00804A4F"/>
    <w:rsid w:val="008623AA"/>
    <w:rsid w:val="008B2999"/>
    <w:rsid w:val="00916004"/>
    <w:rsid w:val="009833DD"/>
    <w:rsid w:val="00990E88"/>
    <w:rsid w:val="00A04A79"/>
    <w:rsid w:val="00B02277"/>
    <w:rsid w:val="00B811C6"/>
    <w:rsid w:val="00DC7160"/>
    <w:rsid w:val="00F127C5"/>
    <w:rsid w:val="019B0FF3"/>
    <w:rsid w:val="02BB4BFA"/>
    <w:rsid w:val="031967BF"/>
    <w:rsid w:val="03FA58F4"/>
    <w:rsid w:val="042574FC"/>
    <w:rsid w:val="059D2AB2"/>
    <w:rsid w:val="064331FF"/>
    <w:rsid w:val="06637807"/>
    <w:rsid w:val="07A84A84"/>
    <w:rsid w:val="09E15CAB"/>
    <w:rsid w:val="0A54495D"/>
    <w:rsid w:val="0ACB10CA"/>
    <w:rsid w:val="0B6404FD"/>
    <w:rsid w:val="0B9A6E52"/>
    <w:rsid w:val="0BC35067"/>
    <w:rsid w:val="0C150696"/>
    <w:rsid w:val="0C5D37A0"/>
    <w:rsid w:val="0F3D1D6E"/>
    <w:rsid w:val="10410201"/>
    <w:rsid w:val="10D9400F"/>
    <w:rsid w:val="114A6D0F"/>
    <w:rsid w:val="121F5BBC"/>
    <w:rsid w:val="159D57A2"/>
    <w:rsid w:val="1AAC0725"/>
    <w:rsid w:val="1B7F5CBE"/>
    <w:rsid w:val="1C7276E8"/>
    <w:rsid w:val="1CC43F61"/>
    <w:rsid w:val="1E1C4561"/>
    <w:rsid w:val="1F81510B"/>
    <w:rsid w:val="202D148E"/>
    <w:rsid w:val="206E0570"/>
    <w:rsid w:val="20972AC3"/>
    <w:rsid w:val="2112137D"/>
    <w:rsid w:val="227E7EC4"/>
    <w:rsid w:val="280E2B5C"/>
    <w:rsid w:val="28632AD7"/>
    <w:rsid w:val="28D114E5"/>
    <w:rsid w:val="2A701FAF"/>
    <w:rsid w:val="2A7830FC"/>
    <w:rsid w:val="2ACD3FB7"/>
    <w:rsid w:val="2C8B0481"/>
    <w:rsid w:val="2D1B4371"/>
    <w:rsid w:val="2E077E75"/>
    <w:rsid w:val="2F55730D"/>
    <w:rsid w:val="31740640"/>
    <w:rsid w:val="33467AD6"/>
    <w:rsid w:val="33F95317"/>
    <w:rsid w:val="350A581F"/>
    <w:rsid w:val="35BF1480"/>
    <w:rsid w:val="36216648"/>
    <w:rsid w:val="39F11C9A"/>
    <w:rsid w:val="3A8D2E4F"/>
    <w:rsid w:val="3BE231A4"/>
    <w:rsid w:val="3BF97822"/>
    <w:rsid w:val="3E2616AB"/>
    <w:rsid w:val="40760388"/>
    <w:rsid w:val="41C354E5"/>
    <w:rsid w:val="42895BB8"/>
    <w:rsid w:val="45062F01"/>
    <w:rsid w:val="45D30CA8"/>
    <w:rsid w:val="46CF0408"/>
    <w:rsid w:val="479E4518"/>
    <w:rsid w:val="47CC2C3B"/>
    <w:rsid w:val="47ED65D4"/>
    <w:rsid w:val="48E61FE6"/>
    <w:rsid w:val="493A0117"/>
    <w:rsid w:val="4AD8241B"/>
    <w:rsid w:val="4BB95491"/>
    <w:rsid w:val="4C483F9D"/>
    <w:rsid w:val="4C5347F8"/>
    <w:rsid w:val="4DBA73C4"/>
    <w:rsid w:val="4DE65033"/>
    <w:rsid w:val="4DEF4B8A"/>
    <w:rsid w:val="4F232E98"/>
    <w:rsid w:val="4F5A25B8"/>
    <w:rsid w:val="50263CE4"/>
    <w:rsid w:val="50C91EA0"/>
    <w:rsid w:val="51BA1F36"/>
    <w:rsid w:val="51FC241F"/>
    <w:rsid w:val="527632C9"/>
    <w:rsid w:val="529315EC"/>
    <w:rsid w:val="52D57936"/>
    <w:rsid w:val="531F167B"/>
    <w:rsid w:val="54062EED"/>
    <w:rsid w:val="54462080"/>
    <w:rsid w:val="547045FB"/>
    <w:rsid w:val="56C573F6"/>
    <w:rsid w:val="57B34255"/>
    <w:rsid w:val="57D74EC3"/>
    <w:rsid w:val="59BF1C24"/>
    <w:rsid w:val="5C33686D"/>
    <w:rsid w:val="5C6678D8"/>
    <w:rsid w:val="5CF369BA"/>
    <w:rsid w:val="5D0E196B"/>
    <w:rsid w:val="5DB1188E"/>
    <w:rsid w:val="60397918"/>
    <w:rsid w:val="61252122"/>
    <w:rsid w:val="62F260BB"/>
    <w:rsid w:val="65780411"/>
    <w:rsid w:val="65E96714"/>
    <w:rsid w:val="6651732E"/>
    <w:rsid w:val="68BA245C"/>
    <w:rsid w:val="69401815"/>
    <w:rsid w:val="69777AA4"/>
    <w:rsid w:val="6C2C484E"/>
    <w:rsid w:val="6CA0320D"/>
    <w:rsid w:val="6CD65E36"/>
    <w:rsid w:val="6E521626"/>
    <w:rsid w:val="6F0B7AC6"/>
    <w:rsid w:val="6FF87308"/>
    <w:rsid w:val="7AA86807"/>
    <w:rsid w:val="7AEE5B54"/>
    <w:rsid w:val="7B06074A"/>
    <w:rsid w:val="7BD63AA0"/>
    <w:rsid w:val="7E7225CE"/>
    <w:rsid w:val="7F6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Body Text Indent 2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Balloon Text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Header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6"/>
    <customShpInfo spid="_x0000_s1037"/>
    <customShpInfo spid="_x0000_s1038"/>
    <customShpInfo spid="_x0000_s1039"/>
    <customShpInfo spid="_x0000_s1042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ICOS</Company>
  <Pages>8</Pages>
  <Words>379</Words>
  <Characters>2163</Characters>
  <Lines>0</Lines>
  <Paragraphs>0</Paragraphs>
  <TotalTime>120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2021-05-09T02:27:00Z</dcterms:created>
  <dc:creator>飞觞醉月</dc:creator>
  <cp:lastModifiedBy>飞觞醉月</cp:lastModifiedBy>
  <cp:lastPrinted>2021-11-16T04:34:00Z</cp:lastPrinted>
  <dcterms:modified xsi:type="dcterms:W3CDTF">2021-11-30T09:20:22Z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439811705A0042888E4EAC4D4EAF924D</vt:lpwstr>
  </property>
</Properties>
</file>